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7E7" w:rsidRPr="00D40677" w:rsidRDefault="00FD57E7" w:rsidP="00D40677">
      <w:pPr>
        <w:spacing w:before="120" w:after="0" w:line="276" w:lineRule="auto"/>
        <w:jc w:val="center"/>
        <w:rPr>
          <w:rFonts w:ascii="Times New Roman" w:hAnsi="Times New Roman" w:cs="Times New Roman"/>
          <w:b/>
          <w:color w:val="FF0000"/>
          <w:sz w:val="28"/>
          <w:szCs w:val="24"/>
          <w:u w:val="single"/>
        </w:rPr>
      </w:pPr>
      <w:bookmarkStart w:id="0" w:name="_Toc221596981"/>
      <w:bookmarkStart w:id="1" w:name="_Toc220485733"/>
      <w:r w:rsidRPr="00D40677">
        <w:rPr>
          <w:rFonts w:ascii="Times New Roman" w:hAnsi="Times New Roman" w:cs="Times New Roman"/>
          <w:b/>
          <w:color w:val="FF0000"/>
          <w:sz w:val="28"/>
          <w:szCs w:val="24"/>
          <w:u w:val="single"/>
        </w:rPr>
        <w:t>YURT</w:t>
      </w:r>
      <w:r w:rsidR="006F0CB6">
        <w:rPr>
          <w:rFonts w:ascii="Times New Roman" w:hAnsi="Times New Roman" w:cs="Times New Roman"/>
          <w:b/>
          <w:color w:val="FF0000"/>
          <w:sz w:val="28"/>
          <w:szCs w:val="24"/>
          <w:u w:val="single"/>
        </w:rPr>
        <w:t xml:space="preserve"> </w:t>
      </w:r>
      <w:r w:rsidRPr="00D40677">
        <w:rPr>
          <w:rFonts w:ascii="Times New Roman" w:hAnsi="Times New Roman" w:cs="Times New Roman"/>
          <w:b/>
          <w:color w:val="FF0000"/>
          <w:sz w:val="28"/>
          <w:szCs w:val="24"/>
          <w:u w:val="single"/>
        </w:rPr>
        <w:t>DIŞI MÜTEAHHİTLİK HİZMETLERİ GENEL NOTU</w:t>
      </w:r>
    </w:p>
    <w:p w:rsidR="00FD57E7" w:rsidRPr="00FD57E7" w:rsidRDefault="00FD57E7" w:rsidP="00FD57E7">
      <w:pPr>
        <w:spacing w:after="0" w:line="276" w:lineRule="auto"/>
        <w:jc w:val="center"/>
        <w:rPr>
          <w:rFonts w:ascii="Times New Roman" w:hAnsi="Times New Roman" w:cs="Times New Roman"/>
          <w:b/>
          <w:bCs/>
          <w:sz w:val="24"/>
          <w:szCs w:val="24"/>
          <w:u w:val="single"/>
        </w:rPr>
      </w:pPr>
    </w:p>
    <w:p w:rsidR="00FD57E7" w:rsidRPr="00FD57E7" w:rsidRDefault="00FD57E7" w:rsidP="00FD57E7">
      <w:pPr>
        <w:spacing w:after="200" w:line="276" w:lineRule="auto"/>
        <w:rPr>
          <w:rFonts w:ascii="Times New Roman" w:hAnsi="Times New Roman" w:cs="Times New Roman"/>
          <w:sz w:val="24"/>
          <w:szCs w:val="24"/>
        </w:rPr>
      </w:pPr>
      <w:bookmarkStart w:id="2" w:name="_Toc221596980"/>
      <w:bookmarkStart w:id="3" w:name="_Toc220485732"/>
      <w:bookmarkStart w:id="4" w:name="OLE_LINK6"/>
      <w:bookmarkStart w:id="5" w:name="OLE_LINK5"/>
      <w:bookmarkStart w:id="6" w:name="_Toc221596982"/>
      <w:bookmarkStart w:id="7" w:name="_Toc220485734"/>
      <w:bookmarkEnd w:id="0"/>
      <w:bookmarkEnd w:id="1"/>
      <w:r>
        <w:rPr>
          <w:rFonts w:ascii="Times New Roman" w:hAnsi="Times New Roman" w:cs="Times New Roman"/>
          <w:b/>
          <w:sz w:val="24"/>
          <w:szCs w:val="24"/>
        </w:rPr>
        <w:t xml:space="preserve">1) </w:t>
      </w:r>
      <w:r w:rsidRPr="00FD57E7">
        <w:rPr>
          <w:rFonts w:ascii="Times New Roman" w:hAnsi="Times New Roman" w:cs="Times New Roman"/>
          <w:b/>
          <w:sz w:val="24"/>
          <w:szCs w:val="24"/>
        </w:rPr>
        <w:t>GENEL DURUM</w:t>
      </w:r>
      <w:bookmarkEnd w:id="2"/>
      <w:bookmarkEnd w:id="3"/>
    </w:p>
    <w:p w:rsidR="005742AB" w:rsidRDefault="005742AB" w:rsidP="00564147">
      <w:pPr>
        <w:pStyle w:val="ListeParagraf"/>
        <w:ind w:left="0"/>
        <w:jc w:val="both"/>
        <w:rPr>
          <w:rFonts w:ascii="Times New Roman" w:hAnsi="Times New Roman"/>
          <w:sz w:val="24"/>
          <w:szCs w:val="24"/>
        </w:rPr>
      </w:pPr>
      <w:r w:rsidRPr="00564147">
        <w:rPr>
          <w:rFonts w:ascii="Times New Roman" w:hAnsi="Times New Roman"/>
          <w:sz w:val="24"/>
          <w:szCs w:val="24"/>
        </w:rPr>
        <w:t>Küresel ekonomik büyüme trendleri, dünya nüfusu ve kentleşme oranına yönelik projeksiyonlar, sürdürülebilir bir gelecek kurgusunda inşaat sektörünün önemini büyük oranda arttırmaktadır.</w:t>
      </w:r>
    </w:p>
    <w:p w:rsidR="00E40888" w:rsidRDefault="00E40888" w:rsidP="00D40677">
      <w:pPr>
        <w:pStyle w:val="ListeParagraf"/>
        <w:ind w:left="0"/>
        <w:jc w:val="both"/>
        <w:rPr>
          <w:rFonts w:ascii="Times New Roman" w:hAnsi="Times New Roman"/>
          <w:sz w:val="24"/>
          <w:szCs w:val="24"/>
        </w:rPr>
      </w:pPr>
    </w:p>
    <w:p w:rsidR="00FD57E7" w:rsidRDefault="00D40677" w:rsidP="00D40677">
      <w:pPr>
        <w:pStyle w:val="ListeParagraf"/>
        <w:ind w:left="0"/>
        <w:jc w:val="both"/>
        <w:rPr>
          <w:rFonts w:ascii="Times New Roman" w:hAnsi="Times New Roman" w:cs="Times New Roman"/>
          <w:color w:val="000000" w:themeColor="text1"/>
          <w:sz w:val="24"/>
          <w:szCs w:val="24"/>
        </w:rPr>
      </w:pPr>
      <w:r w:rsidRPr="00AE090C">
        <w:rPr>
          <w:rFonts w:ascii="Times New Roman" w:hAnsi="Times New Roman"/>
          <w:sz w:val="24"/>
          <w:szCs w:val="24"/>
        </w:rPr>
        <w:t xml:space="preserve">1874 yılından bu yana yayım yapan ve uluslararası inşaat sektörünün en saygın yayımlarından olan Engineering News Record (ENR) Dergisi, dünyanın önde gelen müteahhitlik firmalarının uluslararası piyasalarda </w:t>
      </w:r>
      <w:r w:rsidRPr="00AE090C">
        <w:rPr>
          <w:rFonts w:ascii="Times New Roman" w:hAnsi="Times New Roman"/>
          <w:b/>
          <w:sz w:val="24"/>
          <w:szCs w:val="24"/>
        </w:rPr>
        <w:t>bir önceki yılda elde ettikleri gelirlere</w:t>
      </w:r>
      <w:r w:rsidRPr="00AE090C">
        <w:rPr>
          <w:rFonts w:ascii="Times New Roman" w:hAnsi="Times New Roman"/>
          <w:sz w:val="24"/>
          <w:szCs w:val="24"/>
        </w:rPr>
        <w:t xml:space="preserve"> göre sırala</w:t>
      </w:r>
      <w:r w:rsidR="0095473D">
        <w:rPr>
          <w:rFonts w:ascii="Times New Roman" w:hAnsi="Times New Roman"/>
          <w:sz w:val="24"/>
          <w:szCs w:val="24"/>
        </w:rPr>
        <w:t>n</w:t>
      </w:r>
      <w:r w:rsidRPr="00AE090C">
        <w:rPr>
          <w:rFonts w:ascii="Times New Roman" w:hAnsi="Times New Roman"/>
          <w:sz w:val="24"/>
          <w:szCs w:val="24"/>
        </w:rPr>
        <w:t>dığı “ENR En Büyük 250 Yurt</w:t>
      </w:r>
      <w:r w:rsidR="006F0CB6">
        <w:rPr>
          <w:rFonts w:ascii="Times New Roman" w:hAnsi="Times New Roman"/>
          <w:sz w:val="24"/>
          <w:szCs w:val="24"/>
        </w:rPr>
        <w:t xml:space="preserve"> D</w:t>
      </w:r>
      <w:r w:rsidRPr="00AE090C">
        <w:rPr>
          <w:rFonts w:ascii="Times New Roman" w:hAnsi="Times New Roman"/>
          <w:sz w:val="24"/>
          <w:szCs w:val="24"/>
        </w:rPr>
        <w:t>ışı Müteahhitlik Firması Listesi”ni her yıl düzenli olarak yayınlamaktadır.</w:t>
      </w:r>
      <w:r>
        <w:rPr>
          <w:rFonts w:ascii="Times New Roman" w:hAnsi="Times New Roman"/>
          <w:sz w:val="24"/>
          <w:szCs w:val="24"/>
        </w:rPr>
        <w:t xml:space="preserve"> </w:t>
      </w:r>
      <w:r w:rsidR="0095473D">
        <w:rPr>
          <w:rFonts w:ascii="Times New Roman" w:hAnsi="Times New Roman" w:cs="Times New Roman"/>
          <w:color w:val="000000" w:themeColor="text1"/>
          <w:sz w:val="24"/>
          <w:szCs w:val="24"/>
        </w:rPr>
        <w:t>ENR’a</w:t>
      </w:r>
      <w:r>
        <w:rPr>
          <w:rFonts w:ascii="Times New Roman" w:hAnsi="Times New Roman" w:cs="Times New Roman"/>
          <w:color w:val="000000" w:themeColor="text1"/>
          <w:sz w:val="24"/>
          <w:szCs w:val="24"/>
        </w:rPr>
        <w:t xml:space="preserve"> </w:t>
      </w:r>
      <w:r w:rsidR="00FD57E7" w:rsidRPr="00262BBD">
        <w:rPr>
          <w:rFonts w:ascii="Times New Roman" w:hAnsi="Times New Roman" w:cs="Times New Roman"/>
          <w:color w:val="000000" w:themeColor="text1"/>
          <w:sz w:val="24"/>
          <w:szCs w:val="24"/>
        </w:rPr>
        <w:t xml:space="preserve">göre dünya genelindeki en büyük 250 müteahhitlik firmasının toplam uluslararası müteahhitlik gelirleri 2002 yılında 116,5 </w:t>
      </w:r>
      <w:r w:rsidR="00FD57E7" w:rsidRPr="00C74DD2">
        <w:rPr>
          <w:rFonts w:ascii="Times New Roman" w:hAnsi="Times New Roman" w:cs="Times New Roman"/>
          <w:color w:val="000000" w:themeColor="text1"/>
          <w:sz w:val="24"/>
          <w:szCs w:val="24"/>
        </w:rPr>
        <w:t>mily</w:t>
      </w:r>
      <w:r w:rsidRPr="00C74DD2">
        <w:rPr>
          <w:rFonts w:ascii="Times New Roman" w:hAnsi="Times New Roman" w:cs="Times New Roman"/>
          <w:color w:val="000000" w:themeColor="text1"/>
          <w:sz w:val="24"/>
          <w:szCs w:val="24"/>
        </w:rPr>
        <w:t>ar dolar seviy</w:t>
      </w:r>
      <w:r w:rsidR="00966FF8">
        <w:rPr>
          <w:rFonts w:ascii="Times New Roman" w:hAnsi="Times New Roman" w:cs="Times New Roman"/>
          <w:color w:val="000000" w:themeColor="text1"/>
          <w:sz w:val="24"/>
          <w:szCs w:val="24"/>
        </w:rPr>
        <w:t xml:space="preserve">esinde iken; </w:t>
      </w:r>
      <w:r w:rsidR="00E40888">
        <w:rPr>
          <w:rFonts w:ascii="Times New Roman" w:hAnsi="Times New Roman" w:cs="Times New Roman"/>
          <w:color w:val="000000" w:themeColor="text1"/>
          <w:sz w:val="24"/>
          <w:szCs w:val="24"/>
        </w:rPr>
        <w:t xml:space="preserve">derginin </w:t>
      </w:r>
      <w:r w:rsidR="00E40888" w:rsidRPr="0079258D">
        <w:rPr>
          <w:rFonts w:ascii="Times New Roman" w:hAnsi="Times New Roman" w:cs="Times New Roman"/>
          <w:b/>
          <w:color w:val="000000" w:themeColor="text1"/>
          <w:sz w:val="24"/>
          <w:szCs w:val="24"/>
        </w:rPr>
        <w:t>202</w:t>
      </w:r>
      <w:r w:rsidR="00066904">
        <w:rPr>
          <w:rFonts w:ascii="Times New Roman" w:hAnsi="Times New Roman" w:cs="Times New Roman"/>
          <w:b/>
          <w:color w:val="000000" w:themeColor="text1"/>
          <w:sz w:val="24"/>
          <w:szCs w:val="24"/>
        </w:rPr>
        <w:t>4</w:t>
      </w:r>
      <w:r w:rsidRPr="0079258D">
        <w:rPr>
          <w:rFonts w:ascii="Times New Roman" w:hAnsi="Times New Roman" w:cs="Times New Roman"/>
          <w:b/>
          <w:color w:val="000000" w:themeColor="text1"/>
          <w:sz w:val="24"/>
          <w:szCs w:val="24"/>
        </w:rPr>
        <w:t xml:space="preserve"> yılı</w:t>
      </w:r>
      <w:r w:rsidR="00F643CE" w:rsidRPr="00C74DD2">
        <w:rPr>
          <w:rFonts w:ascii="Times New Roman" w:hAnsi="Times New Roman" w:cs="Times New Roman"/>
          <w:color w:val="000000" w:themeColor="text1"/>
          <w:sz w:val="24"/>
          <w:szCs w:val="24"/>
        </w:rPr>
        <w:t xml:space="preserve"> </w:t>
      </w:r>
      <w:r w:rsidRPr="00C74DD2">
        <w:rPr>
          <w:rFonts w:ascii="Times New Roman" w:hAnsi="Times New Roman" w:cs="Times New Roman"/>
          <w:color w:val="000000" w:themeColor="text1"/>
          <w:sz w:val="24"/>
          <w:szCs w:val="24"/>
        </w:rPr>
        <w:t xml:space="preserve">sayısında </w:t>
      </w:r>
      <w:r w:rsidR="00066904">
        <w:rPr>
          <w:rFonts w:ascii="Times New Roman" w:hAnsi="Times New Roman" w:cs="Times New Roman"/>
          <w:b/>
          <w:color w:val="000000" w:themeColor="text1"/>
          <w:sz w:val="24"/>
          <w:szCs w:val="24"/>
        </w:rPr>
        <w:t>499,7</w:t>
      </w:r>
      <w:r w:rsidR="00FD57E7" w:rsidRPr="0079258D">
        <w:rPr>
          <w:rFonts w:ascii="Times New Roman" w:hAnsi="Times New Roman" w:cs="Times New Roman"/>
          <w:b/>
          <w:color w:val="000000" w:themeColor="text1"/>
          <w:sz w:val="24"/>
          <w:szCs w:val="24"/>
        </w:rPr>
        <w:t xml:space="preserve"> milyar</w:t>
      </w:r>
      <w:r w:rsidR="00FD57E7" w:rsidRPr="00C74DD2">
        <w:rPr>
          <w:rFonts w:ascii="Times New Roman" w:hAnsi="Times New Roman" w:cs="Times New Roman"/>
          <w:color w:val="000000" w:themeColor="text1"/>
          <w:sz w:val="24"/>
          <w:szCs w:val="24"/>
        </w:rPr>
        <w:t xml:space="preserve"> dolar </w:t>
      </w:r>
      <w:r w:rsidR="00F643CE" w:rsidRPr="00C74DD2">
        <w:rPr>
          <w:rFonts w:ascii="Times New Roman" w:hAnsi="Times New Roman" w:cs="Times New Roman"/>
          <w:color w:val="000000" w:themeColor="text1"/>
          <w:sz w:val="24"/>
          <w:szCs w:val="24"/>
        </w:rPr>
        <w:t xml:space="preserve">olarak </w:t>
      </w:r>
      <w:r w:rsidR="00B92BCC" w:rsidRPr="00C74DD2">
        <w:rPr>
          <w:rFonts w:ascii="Times New Roman" w:hAnsi="Times New Roman" w:cs="Times New Roman"/>
          <w:color w:val="000000" w:themeColor="text1"/>
          <w:sz w:val="24"/>
          <w:szCs w:val="24"/>
        </w:rPr>
        <w:t>gerçekleşmiştir</w:t>
      </w:r>
      <w:r w:rsidR="00FD57E7" w:rsidRPr="00C74DD2">
        <w:rPr>
          <w:rFonts w:ascii="Times New Roman" w:hAnsi="Times New Roman" w:cs="Times New Roman"/>
          <w:color w:val="000000" w:themeColor="text1"/>
          <w:sz w:val="24"/>
          <w:szCs w:val="24"/>
        </w:rPr>
        <w:t xml:space="preserve">. En büyük 250 firmanın gelirlerinde </w:t>
      </w:r>
      <w:r w:rsidRPr="00C74DD2">
        <w:rPr>
          <w:rFonts w:ascii="Times New Roman" w:hAnsi="Times New Roman" w:cs="Times New Roman"/>
          <w:color w:val="000000" w:themeColor="text1"/>
          <w:sz w:val="24"/>
          <w:szCs w:val="24"/>
        </w:rPr>
        <w:t xml:space="preserve">derginin </w:t>
      </w:r>
      <w:r w:rsidR="00E40888">
        <w:rPr>
          <w:rFonts w:ascii="Times New Roman" w:hAnsi="Times New Roman" w:cs="Times New Roman"/>
          <w:color w:val="000000" w:themeColor="text1"/>
          <w:sz w:val="24"/>
          <w:szCs w:val="24"/>
        </w:rPr>
        <w:t>202</w:t>
      </w:r>
      <w:r w:rsidR="00171015">
        <w:rPr>
          <w:rFonts w:ascii="Times New Roman" w:hAnsi="Times New Roman" w:cs="Times New Roman"/>
          <w:color w:val="000000" w:themeColor="text1"/>
          <w:sz w:val="24"/>
          <w:szCs w:val="24"/>
        </w:rPr>
        <w:t>3</w:t>
      </w:r>
      <w:r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 xml:space="preserve">yılı </w:t>
      </w:r>
      <w:r w:rsidRPr="00C74DD2">
        <w:rPr>
          <w:rFonts w:ascii="Times New Roman" w:hAnsi="Times New Roman" w:cs="Times New Roman"/>
          <w:color w:val="000000" w:themeColor="text1"/>
          <w:sz w:val="24"/>
          <w:szCs w:val="24"/>
        </w:rPr>
        <w:t xml:space="preserve">sayısı </w:t>
      </w:r>
      <w:r w:rsidR="00FD57E7" w:rsidRPr="00C74DD2">
        <w:rPr>
          <w:rFonts w:ascii="Times New Roman" w:hAnsi="Times New Roman" w:cs="Times New Roman"/>
          <w:color w:val="000000" w:themeColor="text1"/>
          <w:sz w:val="24"/>
          <w:szCs w:val="24"/>
        </w:rPr>
        <w:t>ile karşılaştırıldığında %</w:t>
      </w:r>
      <w:r w:rsidR="00066904">
        <w:rPr>
          <w:rFonts w:ascii="Times New Roman" w:hAnsi="Times New Roman" w:cs="Times New Roman"/>
          <w:color w:val="000000" w:themeColor="text1"/>
          <w:sz w:val="24"/>
          <w:szCs w:val="24"/>
        </w:rPr>
        <w:t>16</w:t>
      </w:r>
      <w:r w:rsidR="00FD57E7" w:rsidRPr="00C74DD2">
        <w:rPr>
          <w:rFonts w:ascii="Times New Roman" w:hAnsi="Times New Roman" w:cs="Times New Roman"/>
          <w:color w:val="000000" w:themeColor="text1"/>
          <w:sz w:val="24"/>
          <w:szCs w:val="24"/>
        </w:rPr>
        <w:t xml:space="preserve"> </w:t>
      </w:r>
      <w:r w:rsidR="0079258D">
        <w:rPr>
          <w:rFonts w:ascii="Times New Roman" w:hAnsi="Times New Roman" w:cs="Times New Roman"/>
          <w:color w:val="000000" w:themeColor="text1"/>
          <w:sz w:val="24"/>
          <w:szCs w:val="24"/>
        </w:rPr>
        <w:t>artış</w:t>
      </w:r>
      <w:r w:rsidR="00FD57E7" w:rsidRPr="00C74DD2">
        <w:rPr>
          <w:rFonts w:ascii="Times New Roman" w:hAnsi="Times New Roman" w:cs="Times New Roman"/>
          <w:color w:val="000000" w:themeColor="text1"/>
          <w:sz w:val="24"/>
          <w:szCs w:val="24"/>
        </w:rPr>
        <w:t xml:space="preserve"> kaydedilmiştir. </w:t>
      </w:r>
      <w:r w:rsidRPr="00C74DD2">
        <w:rPr>
          <w:rFonts w:ascii="Times New Roman" w:hAnsi="Times New Roman" w:cs="Times New Roman"/>
          <w:color w:val="000000" w:themeColor="text1"/>
          <w:sz w:val="24"/>
          <w:szCs w:val="24"/>
        </w:rPr>
        <w:t xml:space="preserve">Derginin </w:t>
      </w:r>
      <w:r w:rsidR="003076DB" w:rsidRPr="00C74DD2">
        <w:rPr>
          <w:rFonts w:ascii="Times New Roman" w:hAnsi="Times New Roman" w:cs="Times New Roman"/>
          <w:color w:val="000000" w:themeColor="text1"/>
          <w:sz w:val="24"/>
          <w:szCs w:val="24"/>
        </w:rPr>
        <w:t>202</w:t>
      </w:r>
      <w:r w:rsidR="00066904">
        <w:rPr>
          <w:rFonts w:ascii="Times New Roman" w:hAnsi="Times New Roman" w:cs="Times New Roman"/>
          <w:color w:val="000000" w:themeColor="text1"/>
          <w:sz w:val="24"/>
          <w:szCs w:val="24"/>
        </w:rPr>
        <w:t>4</w:t>
      </w:r>
      <w:r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yılı</w:t>
      </w:r>
      <w:r w:rsidRPr="00C74DD2">
        <w:rPr>
          <w:rFonts w:ascii="Times New Roman" w:hAnsi="Times New Roman" w:cs="Times New Roman"/>
          <w:color w:val="000000" w:themeColor="text1"/>
          <w:sz w:val="24"/>
          <w:szCs w:val="24"/>
        </w:rPr>
        <w:t xml:space="preserve"> sayısında</w:t>
      </w:r>
      <w:r w:rsidR="00FD57E7" w:rsidRPr="00C74DD2">
        <w:rPr>
          <w:rFonts w:ascii="Times New Roman" w:hAnsi="Times New Roman" w:cs="Times New Roman"/>
          <w:color w:val="000000" w:themeColor="text1"/>
          <w:sz w:val="24"/>
          <w:szCs w:val="24"/>
        </w:rPr>
        <w:t xml:space="preserve"> bahsekonu gelirlerin sektörel dağılımına bakıldığında; %</w:t>
      </w:r>
      <w:r w:rsidR="000D55D1" w:rsidRPr="00C74DD2">
        <w:rPr>
          <w:rFonts w:ascii="Times New Roman" w:hAnsi="Times New Roman" w:cs="Times New Roman"/>
          <w:color w:val="000000" w:themeColor="text1"/>
          <w:sz w:val="24"/>
          <w:szCs w:val="24"/>
        </w:rPr>
        <w:t>3</w:t>
      </w:r>
      <w:r w:rsidR="00066904">
        <w:rPr>
          <w:rFonts w:ascii="Times New Roman" w:hAnsi="Times New Roman" w:cs="Times New Roman"/>
          <w:color w:val="000000" w:themeColor="text1"/>
          <w:sz w:val="24"/>
          <w:szCs w:val="24"/>
        </w:rPr>
        <w:t>0,9</w:t>
      </w:r>
      <w:r w:rsidR="00FD57E7" w:rsidRPr="00C74DD2">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ünün</w:t>
      </w:r>
      <w:r w:rsidR="008C111D"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ulaştırma (1</w:t>
      </w:r>
      <w:r w:rsidR="00066904">
        <w:rPr>
          <w:rFonts w:ascii="Times New Roman" w:hAnsi="Times New Roman" w:cs="Times New Roman"/>
          <w:color w:val="000000" w:themeColor="text1"/>
          <w:sz w:val="24"/>
          <w:szCs w:val="24"/>
        </w:rPr>
        <w:t>54,5</w:t>
      </w:r>
      <w:r w:rsidR="00FD57E7" w:rsidRPr="00C74DD2">
        <w:rPr>
          <w:rFonts w:ascii="Times New Roman" w:hAnsi="Times New Roman" w:cs="Times New Roman"/>
          <w:color w:val="000000" w:themeColor="text1"/>
          <w:sz w:val="24"/>
          <w:szCs w:val="24"/>
        </w:rPr>
        <w:t xml:space="preserve"> milyar dolar),</w:t>
      </w:r>
      <w:r w:rsidR="000D55D1" w:rsidRPr="00C74DD2">
        <w:rPr>
          <w:rFonts w:ascii="Times New Roman" w:hAnsi="Times New Roman" w:cs="Times New Roman"/>
          <w:color w:val="000000" w:themeColor="text1"/>
          <w:sz w:val="24"/>
          <w:szCs w:val="24"/>
        </w:rPr>
        <w:t xml:space="preserve"> %</w:t>
      </w:r>
      <w:r w:rsidR="00066904">
        <w:rPr>
          <w:rFonts w:ascii="Times New Roman" w:hAnsi="Times New Roman" w:cs="Times New Roman"/>
          <w:color w:val="000000" w:themeColor="text1"/>
          <w:sz w:val="24"/>
          <w:szCs w:val="24"/>
        </w:rPr>
        <w:t>19,4</w:t>
      </w:r>
      <w:r w:rsidR="000D55D1" w:rsidRPr="002673A0">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ünü</w:t>
      </w:r>
      <w:r w:rsidR="00066904">
        <w:rPr>
          <w:rFonts w:ascii="Times New Roman" w:hAnsi="Times New Roman" w:cs="Times New Roman"/>
          <w:color w:val="000000" w:themeColor="text1"/>
          <w:sz w:val="24"/>
          <w:szCs w:val="24"/>
        </w:rPr>
        <w:t>n</w:t>
      </w:r>
      <w:r w:rsidR="0079258D">
        <w:rPr>
          <w:rFonts w:ascii="Times New Roman" w:hAnsi="Times New Roman" w:cs="Times New Roman"/>
          <w:color w:val="000000" w:themeColor="text1"/>
          <w:sz w:val="24"/>
          <w:szCs w:val="24"/>
        </w:rPr>
        <w:t xml:space="preserve"> </w:t>
      </w:r>
      <w:r w:rsidR="00262BBD" w:rsidRPr="002673A0">
        <w:rPr>
          <w:rFonts w:ascii="Times New Roman" w:hAnsi="Times New Roman" w:cs="Times New Roman"/>
          <w:color w:val="000000" w:themeColor="text1"/>
          <w:sz w:val="24"/>
          <w:szCs w:val="24"/>
        </w:rPr>
        <w:t>bina inşası (</w:t>
      </w:r>
      <w:r w:rsidR="0079258D">
        <w:rPr>
          <w:rFonts w:ascii="Times New Roman" w:hAnsi="Times New Roman" w:cs="Times New Roman"/>
          <w:color w:val="000000" w:themeColor="text1"/>
          <w:sz w:val="24"/>
          <w:szCs w:val="24"/>
        </w:rPr>
        <w:t>9</w:t>
      </w:r>
      <w:r w:rsidR="00066904">
        <w:rPr>
          <w:rFonts w:ascii="Times New Roman" w:hAnsi="Times New Roman" w:cs="Times New Roman"/>
          <w:color w:val="000000" w:themeColor="text1"/>
          <w:sz w:val="24"/>
          <w:szCs w:val="24"/>
        </w:rPr>
        <w:t>6,9</w:t>
      </w:r>
      <w:r w:rsidR="000D55D1" w:rsidRPr="002673A0">
        <w:rPr>
          <w:rFonts w:ascii="Times New Roman" w:hAnsi="Times New Roman" w:cs="Times New Roman"/>
          <w:color w:val="000000" w:themeColor="text1"/>
          <w:sz w:val="24"/>
          <w:szCs w:val="24"/>
        </w:rPr>
        <w:t xml:space="preserve"> milyar dolar</w:t>
      </w:r>
      <w:r w:rsidR="002673A0" w:rsidRPr="002673A0">
        <w:rPr>
          <w:rFonts w:ascii="Times New Roman" w:hAnsi="Times New Roman" w:cs="Times New Roman"/>
          <w:color w:val="000000" w:themeColor="text1"/>
          <w:sz w:val="24"/>
          <w:szCs w:val="24"/>
        </w:rPr>
        <w:t>), %</w:t>
      </w:r>
      <w:r w:rsidR="003076DB" w:rsidRPr="002673A0">
        <w:rPr>
          <w:rFonts w:ascii="Times New Roman" w:hAnsi="Times New Roman" w:cs="Times New Roman"/>
          <w:color w:val="000000" w:themeColor="text1"/>
          <w:sz w:val="24"/>
          <w:szCs w:val="24"/>
        </w:rPr>
        <w:t>1</w:t>
      </w:r>
      <w:r w:rsidR="00066904">
        <w:rPr>
          <w:rFonts w:ascii="Times New Roman" w:hAnsi="Times New Roman" w:cs="Times New Roman"/>
          <w:color w:val="000000" w:themeColor="text1"/>
          <w:sz w:val="24"/>
          <w:szCs w:val="24"/>
        </w:rPr>
        <w:t>6,2</w:t>
      </w:r>
      <w:r w:rsidR="00FD57E7" w:rsidRPr="002673A0">
        <w:rPr>
          <w:rFonts w:ascii="Times New Roman" w:hAnsi="Times New Roman" w:cs="Times New Roman"/>
          <w:color w:val="000000" w:themeColor="text1"/>
          <w:sz w:val="24"/>
          <w:szCs w:val="24"/>
        </w:rPr>
        <w:t>’</w:t>
      </w:r>
      <w:r w:rsidR="00A31DCC" w:rsidRPr="002673A0">
        <w:rPr>
          <w:rFonts w:ascii="Times New Roman" w:hAnsi="Times New Roman" w:cs="Times New Roman"/>
          <w:color w:val="000000" w:themeColor="text1"/>
          <w:sz w:val="24"/>
          <w:szCs w:val="24"/>
        </w:rPr>
        <w:t>ünün</w:t>
      </w:r>
      <w:r w:rsidR="00FD57E7" w:rsidRPr="002673A0">
        <w:rPr>
          <w:rFonts w:ascii="Times New Roman" w:hAnsi="Times New Roman" w:cs="Times New Roman"/>
          <w:color w:val="000000" w:themeColor="text1"/>
          <w:sz w:val="24"/>
          <w:szCs w:val="24"/>
        </w:rPr>
        <w:t xml:space="preserve"> petrol tesisi (</w:t>
      </w:r>
      <w:r w:rsidR="00066904">
        <w:rPr>
          <w:rFonts w:ascii="Times New Roman" w:hAnsi="Times New Roman" w:cs="Times New Roman"/>
          <w:color w:val="000000" w:themeColor="text1"/>
          <w:sz w:val="24"/>
          <w:szCs w:val="24"/>
        </w:rPr>
        <w:t>81</w:t>
      </w:r>
      <w:r w:rsidR="003076DB" w:rsidRPr="002673A0">
        <w:rPr>
          <w:rFonts w:ascii="Times New Roman" w:hAnsi="Times New Roman" w:cs="Times New Roman"/>
          <w:color w:val="000000" w:themeColor="text1"/>
          <w:sz w:val="24"/>
          <w:szCs w:val="24"/>
        </w:rPr>
        <w:t xml:space="preserve"> milyar dolar)</w:t>
      </w:r>
      <w:r w:rsidR="00FD57E7" w:rsidRPr="002673A0">
        <w:rPr>
          <w:rFonts w:ascii="Times New Roman" w:hAnsi="Times New Roman" w:cs="Times New Roman"/>
          <w:color w:val="000000" w:themeColor="text1"/>
          <w:sz w:val="24"/>
          <w:szCs w:val="24"/>
        </w:rPr>
        <w:t xml:space="preserve"> </w:t>
      </w:r>
      <w:r w:rsidR="008C111D" w:rsidRPr="002673A0">
        <w:rPr>
          <w:rFonts w:ascii="Times New Roman" w:hAnsi="Times New Roman" w:cs="Times New Roman"/>
          <w:color w:val="000000" w:themeColor="text1"/>
          <w:sz w:val="24"/>
          <w:szCs w:val="24"/>
        </w:rPr>
        <w:t>ve</w:t>
      </w:r>
      <w:r w:rsidR="00FD57E7" w:rsidRPr="002673A0">
        <w:rPr>
          <w:rFonts w:ascii="Times New Roman" w:hAnsi="Times New Roman" w:cs="Times New Roman"/>
          <w:color w:val="000000" w:themeColor="text1"/>
          <w:sz w:val="24"/>
          <w:szCs w:val="24"/>
        </w:rPr>
        <w:t xml:space="preserve"> %</w:t>
      </w:r>
      <w:r w:rsidR="00E40888" w:rsidRPr="002673A0">
        <w:rPr>
          <w:rFonts w:ascii="Times New Roman" w:hAnsi="Times New Roman" w:cs="Times New Roman"/>
          <w:color w:val="000000" w:themeColor="text1"/>
          <w:sz w:val="24"/>
          <w:szCs w:val="24"/>
        </w:rPr>
        <w:t>1</w:t>
      </w:r>
      <w:r w:rsidR="0079258D">
        <w:rPr>
          <w:rFonts w:ascii="Times New Roman" w:hAnsi="Times New Roman" w:cs="Times New Roman"/>
          <w:color w:val="000000" w:themeColor="text1"/>
          <w:sz w:val="24"/>
          <w:szCs w:val="24"/>
        </w:rPr>
        <w:t>0,</w:t>
      </w:r>
      <w:r w:rsidR="00066904">
        <w:rPr>
          <w:rFonts w:ascii="Times New Roman" w:hAnsi="Times New Roman" w:cs="Times New Roman"/>
          <w:color w:val="000000" w:themeColor="text1"/>
          <w:sz w:val="24"/>
          <w:szCs w:val="24"/>
        </w:rPr>
        <w:t>4</w:t>
      </w:r>
      <w:r w:rsidR="0079258D">
        <w:rPr>
          <w:rFonts w:ascii="Times New Roman" w:hAnsi="Times New Roman" w:cs="Times New Roman"/>
          <w:color w:val="000000" w:themeColor="text1"/>
          <w:sz w:val="24"/>
          <w:szCs w:val="24"/>
        </w:rPr>
        <w:t xml:space="preserve">’inin </w:t>
      </w:r>
      <w:r w:rsidR="00E40888" w:rsidRPr="002673A0">
        <w:rPr>
          <w:rFonts w:ascii="Times New Roman" w:hAnsi="Times New Roman" w:cs="Times New Roman"/>
          <w:color w:val="000000" w:themeColor="text1"/>
          <w:sz w:val="24"/>
          <w:szCs w:val="24"/>
        </w:rPr>
        <w:t xml:space="preserve">enerji </w:t>
      </w:r>
      <w:r w:rsidR="00FD57E7" w:rsidRPr="002673A0">
        <w:rPr>
          <w:rFonts w:ascii="Times New Roman" w:hAnsi="Times New Roman" w:cs="Times New Roman"/>
          <w:color w:val="000000" w:themeColor="text1"/>
          <w:sz w:val="24"/>
          <w:szCs w:val="24"/>
        </w:rPr>
        <w:t>(</w:t>
      </w:r>
      <w:r w:rsidR="00066904">
        <w:rPr>
          <w:rFonts w:ascii="Times New Roman" w:hAnsi="Times New Roman" w:cs="Times New Roman"/>
          <w:color w:val="000000" w:themeColor="text1"/>
          <w:sz w:val="24"/>
          <w:szCs w:val="24"/>
        </w:rPr>
        <w:t>51,9</w:t>
      </w:r>
      <w:r w:rsidR="00FD57E7" w:rsidRPr="002673A0">
        <w:rPr>
          <w:rFonts w:ascii="Times New Roman" w:hAnsi="Times New Roman" w:cs="Times New Roman"/>
          <w:color w:val="000000" w:themeColor="text1"/>
          <w:sz w:val="24"/>
          <w:szCs w:val="24"/>
        </w:rPr>
        <w:t xml:space="preserve"> milyar dolar) projelerinden elde edildiği görülmektedir.</w:t>
      </w:r>
    </w:p>
    <w:p w:rsidR="0095473D" w:rsidRPr="002673A0" w:rsidRDefault="0095473D" w:rsidP="00D40677">
      <w:pPr>
        <w:pStyle w:val="ListeParagraf"/>
        <w:ind w:left="0"/>
        <w:jc w:val="both"/>
        <w:rPr>
          <w:rFonts w:ascii="Times New Roman" w:hAnsi="Times New Roman" w:cs="Times New Roman"/>
          <w:color w:val="000000" w:themeColor="text1"/>
          <w:sz w:val="24"/>
          <w:szCs w:val="24"/>
        </w:rPr>
      </w:pPr>
    </w:p>
    <w:p w:rsidR="00FD57E7" w:rsidRPr="002673A0" w:rsidRDefault="0095473D" w:rsidP="00E40888">
      <w:pPr>
        <w:pStyle w:val="ListeParagraf"/>
        <w:ind w:left="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ENR-</w:t>
      </w:r>
      <w:r w:rsidR="00E40888">
        <w:rPr>
          <w:rFonts w:ascii="Times New Roman" w:hAnsi="Times New Roman" w:cs="Times New Roman"/>
          <w:color w:val="000000" w:themeColor="text1"/>
          <w:sz w:val="24"/>
          <w:szCs w:val="24"/>
        </w:rPr>
        <w:t>202</w:t>
      </w:r>
      <w:r w:rsidR="0006690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000F76DD">
        <w:rPr>
          <w:rFonts w:ascii="Times New Roman" w:hAnsi="Times New Roman" w:cs="Times New Roman"/>
          <w:color w:val="000000" w:themeColor="text1"/>
          <w:sz w:val="24"/>
          <w:szCs w:val="24"/>
        </w:rPr>
        <w:t>ün</w:t>
      </w:r>
      <w:r>
        <w:rPr>
          <w:rFonts w:ascii="Times New Roman" w:hAnsi="Times New Roman" w:cs="Times New Roman"/>
          <w:color w:val="000000" w:themeColor="text1"/>
          <w:sz w:val="24"/>
          <w:szCs w:val="24"/>
        </w:rPr>
        <w:t xml:space="preserve"> verilerine göre, </w:t>
      </w:r>
      <w:r w:rsidR="00066904">
        <w:rPr>
          <w:rFonts w:ascii="Times New Roman" w:hAnsi="Times New Roman" w:cs="Times New Roman"/>
          <w:color w:val="000000" w:themeColor="text1"/>
          <w:sz w:val="24"/>
          <w:szCs w:val="24"/>
        </w:rPr>
        <w:t>499,7</w:t>
      </w:r>
      <w:r w:rsidR="00E40888">
        <w:rPr>
          <w:rFonts w:ascii="Times New Roman" w:hAnsi="Times New Roman" w:cs="Times New Roman"/>
          <w:color w:val="000000" w:themeColor="text1"/>
          <w:sz w:val="24"/>
          <w:szCs w:val="24"/>
        </w:rPr>
        <w:t xml:space="preserve"> </w:t>
      </w:r>
      <w:r w:rsidR="00FD57E7" w:rsidRPr="00813D2F">
        <w:rPr>
          <w:rFonts w:ascii="Times New Roman" w:hAnsi="Times New Roman" w:cs="Times New Roman"/>
          <w:color w:val="000000" w:themeColor="text1"/>
          <w:sz w:val="24"/>
          <w:szCs w:val="24"/>
        </w:rPr>
        <w:t xml:space="preserve">milyar dolarlık gelirin bölgesel dağılımına bakıldığında; </w:t>
      </w:r>
      <w:r w:rsidR="0079258D" w:rsidRPr="0079258D">
        <w:rPr>
          <w:rFonts w:ascii="Times New Roman" w:hAnsi="Times New Roman"/>
          <w:color w:val="000000" w:themeColor="text1"/>
          <w:sz w:val="24"/>
          <w:szCs w:val="24"/>
        </w:rPr>
        <w:t xml:space="preserve">uluslararası inşaat firmalarının </w:t>
      </w:r>
      <w:r w:rsidR="00066904" w:rsidRPr="00066904">
        <w:rPr>
          <w:rFonts w:ascii="Times New Roman" w:hAnsi="Times New Roman"/>
          <w:color w:val="000000" w:themeColor="text1"/>
          <w:sz w:val="24"/>
          <w:szCs w:val="24"/>
        </w:rPr>
        <w:t>Avrupa pazarından 130,7 milyar dolar, Asya pazarından 89,6 milyar dolar, ABD pazarından 71,5 milyar dolar, Ortadoğu pazarından 64,2 milyar dolar, Afrika pazarından ise 52,3 milyar dolar gelir elde ettikleri bildirilmektedir.</w:t>
      </w:r>
      <w:r w:rsidR="00066904">
        <w:rPr>
          <w:rFonts w:ascii="Times New Roman" w:hAnsi="Times New Roman"/>
          <w:color w:val="000000" w:themeColor="text1"/>
          <w:sz w:val="24"/>
          <w:szCs w:val="24"/>
        </w:rPr>
        <w:t xml:space="preserve"> </w:t>
      </w:r>
      <w:r w:rsidR="00D40677">
        <w:rPr>
          <w:rFonts w:ascii="Times New Roman" w:hAnsi="Times New Roman" w:cs="Times New Roman"/>
          <w:color w:val="000000" w:themeColor="text1"/>
          <w:sz w:val="24"/>
          <w:szCs w:val="24"/>
        </w:rPr>
        <w:t xml:space="preserve">Derginin </w:t>
      </w:r>
      <w:r w:rsidR="00FD57E7" w:rsidRPr="00813D2F">
        <w:rPr>
          <w:rFonts w:ascii="Times New Roman" w:hAnsi="Times New Roman" w:cs="Times New Roman"/>
          <w:color w:val="000000" w:themeColor="text1"/>
          <w:sz w:val="24"/>
          <w:szCs w:val="24"/>
        </w:rPr>
        <w:t>20</w:t>
      </w:r>
      <w:r w:rsidR="00E40888">
        <w:rPr>
          <w:rFonts w:ascii="Times New Roman" w:hAnsi="Times New Roman" w:cs="Times New Roman"/>
          <w:color w:val="000000" w:themeColor="text1"/>
          <w:sz w:val="24"/>
          <w:szCs w:val="24"/>
        </w:rPr>
        <w:t>2</w:t>
      </w:r>
      <w:r w:rsidR="00066904">
        <w:rPr>
          <w:rFonts w:ascii="Times New Roman" w:hAnsi="Times New Roman" w:cs="Times New Roman"/>
          <w:color w:val="000000" w:themeColor="text1"/>
          <w:sz w:val="24"/>
          <w:szCs w:val="24"/>
        </w:rPr>
        <w:t>4</w:t>
      </w:r>
      <w:r w:rsidR="00D40677">
        <w:rPr>
          <w:rFonts w:ascii="Times New Roman" w:hAnsi="Times New Roman" w:cs="Times New Roman"/>
          <w:color w:val="000000" w:themeColor="text1"/>
          <w:sz w:val="24"/>
          <w:szCs w:val="24"/>
        </w:rPr>
        <w:t xml:space="preserve"> yılı sayısında, </w:t>
      </w:r>
      <w:r w:rsidR="00450361" w:rsidRPr="00813D2F">
        <w:rPr>
          <w:rFonts w:ascii="Times New Roman" w:hAnsi="Times New Roman" w:cs="Times New Roman"/>
          <w:color w:val="000000" w:themeColor="text1"/>
          <w:sz w:val="24"/>
          <w:szCs w:val="24"/>
        </w:rPr>
        <w:t>müteahhitlik firmalarının iç piyasa</w:t>
      </w:r>
      <w:r w:rsidR="00F643CE" w:rsidRPr="00813D2F">
        <w:rPr>
          <w:rFonts w:ascii="Times New Roman" w:hAnsi="Times New Roman" w:cs="Times New Roman"/>
          <w:color w:val="000000" w:themeColor="text1"/>
          <w:sz w:val="24"/>
          <w:szCs w:val="24"/>
        </w:rPr>
        <w:t>da</w:t>
      </w:r>
      <w:r w:rsidR="00450361" w:rsidRPr="00813D2F">
        <w:rPr>
          <w:rFonts w:ascii="Times New Roman" w:hAnsi="Times New Roman" w:cs="Times New Roman"/>
          <w:color w:val="000000" w:themeColor="text1"/>
          <w:sz w:val="24"/>
          <w:szCs w:val="24"/>
        </w:rPr>
        <w:t xml:space="preserve"> el</w:t>
      </w:r>
      <w:r w:rsidR="003B21CF" w:rsidRPr="00813D2F">
        <w:rPr>
          <w:rFonts w:ascii="Times New Roman" w:hAnsi="Times New Roman" w:cs="Times New Roman"/>
          <w:color w:val="000000" w:themeColor="text1"/>
          <w:sz w:val="24"/>
          <w:szCs w:val="24"/>
        </w:rPr>
        <w:t>de</w:t>
      </w:r>
      <w:r w:rsidR="00450361" w:rsidRPr="00813D2F">
        <w:rPr>
          <w:rFonts w:ascii="Times New Roman" w:hAnsi="Times New Roman" w:cs="Times New Roman"/>
          <w:color w:val="000000" w:themeColor="text1"/>
          <w:sz w:val="24"/>
          <w:szCs w:val="24"/>
        </w:rPr>
        <w:t xml:space="preserve"> ett</w:t>
      </w:r>
      <w:r w:rsidR="00F643CE" w:rsidRPr="00813D2F">
        <w:rPr>
          <w:rFonts w:ascii="Times New Roman" w:hAnsi="Times New Roman" w:cs="Times New Roman"/>
          <w:color w:val="000000" w:themeColor="text1"/>
          <w:sz w:val="24"/>
          <w:szCs w:val="24"/>
        </w:rPr>
        <w:t>ikleri 1</w:t>
      </w:r>
      <w:r w:rsidR="0079258D">
        <w:rPr>
          <w:rFonts w:ascii="Times New Roman" w:hAnsi="Times New Roman" w:cs="Times New Roman"/>
          <w:color w:val="000000" w:themeColor="text1"/>
          <w:sz w:val="24"/>
          <w:szCs w:val="24"/>
        </w:rPr>
        <w:t>,</w:t>
      </w:r>
      <w:r w:rsidR="002673A0">
        <w:rPr>
          <w:rFonts w:ascii="Times New Roman" w:hAnsi="Times New Roman" w:cs="Times New Roman"/>
          <w:color w:val="000000" w:themeColor="text1"/>
          <w:sz w:val="24"/>
          <w:szCs w:val="24"/>
        </w:rPr>
        <w:t>7</w:t>
      </w:r>
      <w:r w:rsidR="009F08D1">
        <w:rPr>
          <w:rFonts w:ascii="Times New Roman" w:hAnsi="Times New Roman" w:cs="Times New Roman"/>
          <w:color w:val="000000" w:themeColor="text1"/>
          <w:sz w:val="24"/>
          <w:szCs w:val="24"/>
        </w:rPr>
        <w:t>49</w:t>
      </w:r>
      <w:r w:rsidR="00F643CE" w:rsidRPr="00813D2F">
        <w:rPr>
          <w:rFonts w:ascii="Times New Roman" w:hAnsi="Times New Roman" w:cs="Times New Roman"/>
          <w:color w:val="000000" w:themeColor="text1"/>
          <w:sz w:val="24"/>
          <w:szCs w:val="24"/>
        </w:rPr>
        <w:t xml:space="preserve"> trilyon dolarlık gelir </w:t>
      </w:r>
      <w:r w:rsidR="00450361" w:rsidRPr="00813D2F">
        <w:rPr>
          <w:rFonts w:ascii="Times New Roman" w:hAnsi="Times New Roman" w:cs="Times New Roman"/>
          <w:color w:val="000000" w:themeColor="text1"/>
          <w:sz w:val="24"/>
          <w:szCs w:val="24"/>
        </w:rPr>
        <w:t xml:space="preserve">de </w:t>
      </w:r>
      <w:r w:rsidR="006050C9" w:rsidRPr="00813D2F">
        <w:rPr>
          <w:rFonts w:ascii="Times New Roman" w:hAnsi="Times New Roman" w:cs="Times New Roman"/>
          <w:color w:val="000000" w:themeColor="text1"/>
          <w:sz w:val="24"/>
          <w:szCs w:val="24"/>
        </w:rPr>
        <w:t>dikkate</w:t>
      </w:r>
      <w:r w:rsidR="00F643CE" w:rsidRPr="00813D2F">
        <w:rPr>
          <w:rFonts w:ascii="Times New Roman" w:hAnsi="Times New Roman" w:cs="Times New Roman"/>
          <w:color w:val="000000" w:themeColor="text1"/>
          <w:sz w:val="24"/>
          <w:szCs w:val="24"/>
        </w:rPr>
        <w:t xml:space="preserve"> alındığında, </w:t>
      </w:r>
      <w:r w:rsidR="00450361" w:rsidRPr="00813D2F">
        <w:rPr>
          <w:rFonts w:ascii="Times New Roman" w:hAnsi="Times New Roman" w:cs="Times New Roman"/>
          <w:color w:val="000000" w:themeColor="text1"/>
          <w:sz w:val="24"/>
          <w:szCs w:val="24"/>
        </w:rPr>
        <w:t>dünya müteahhitlik pazarında</w:t>
      </w:r>
      <w:r w:rsidR="00F643CE" w:rsidRPr="00813D2F">
        <w:rPr>
          <w:rFonts w:ascii="Times New Roman" w:hAnsi="Times New Roman" w:cs="Times New Roman"/>
          <w:color w:val="000000" w:themeColor="text1"/>
          <w:sz w:val="24"/>
          <w:szCs w:val="24"/>
        </w:rPr>
        <w:t xml:space="preserve">n ENR 250 Listesinde </w:t>
      </w:r>
      <w:r w:rsidR="003B21CF" w:rsidRPr="00813D2F">
        <w:rPr>
          <w:rFonts w:ascii="Times New Roman" w:hAnsi="Times New Roman" w:cs="Times New Roman"/>
          <w:color w:val="000000" w:themeColor="text1"/>
          <w:sz w:val="24"/>
          <w:szCs w:val="24"/>
        </w:rPr>
        <w:t>yer alan firmaların</w:t>
      </w:r>
      <w:r w:rsidR="00FD57E7" w:rsidRPr="00813D2F">
        <w:rPr>
          <w:rFonts w:ascii="Times New Roman" w:hAnsi="Times New Roman" w:cs="Times New Roman"/>
          <w:color w:val="000000" w:themeColor="text1"/>
          <w:sz w:val="24"/>
          <w:szCs w:val="24"/>
        </w:rPr>
        <w:t xml:space="preserve"> yerel ve uluslararası gelirlerin</w:t>
      </w:r>
      <w:r w:rsidR="00F643CE" w:rsidRPr="00813D2F">
        <w:rPr>
          <w:rFonts w:ascii="Times New Roman" w:hAnsi="Times New Roman" w:cs="Times New Roman"/>
          <w:color w:val="000000" w:themeColor="text1"/>
          <w:sz w:val="24"/>
          <w:szCs w:val="24"/>
        </w:rPr>
        <w:t>in</w:t>
      </w:r>
      <w:r w:rsidR="00FD57E7" w:rsidRPr="00813D2F">
        <w:rPr>
          <w:rFonts w:ascii="Times New Roman" w:hAnsi="Times New Roman" w:cs="Times New Roman"/>
          <w:color w:val="000000" w:themeColor="text1"/>
          <w:sz w:val="24"/>
          <w:szCs w:val="24"/>
        </w:rPr>
        <w:t xml:space="preserve"> </w:t>
      </w:r>
      <w:r w:rsidR="003B21CF" w:rsidRPr="00813D2F">
        <w:rPr>
          <w:rFonts w:ascii="Times New Roman" w:hAnsi="Times New Roman" w:cs="Times New Roman"/>
          <w:color w:val="000000" w:themeColor="text1"/>
          <w:sz w:val="24"/>
          <w:szCs w:val="24"/>
        </w:rPr>
        <w:t xml:space="preserve">toplamının </w:t>
      </w:r>
      <w:r w:rsidR="002673A0">
        <w:rPr>
          <w:rFonts w:ascii="Times New Roman" w:hAnsi="Times New Roman" w:cs="Times New Roman"/>
          <w:color w:val="000000" w:themeColor="text1"/>
          <w:sz w:val="24"/>
          <w:szCs w:val="24"/>
        </w:rPr>
        <w:t>2</w:t>
      </w:r>
      <w:r w:rsidR="003076DB">
        <w:rPr>
          <w:rFonts w:ascii="Times New Roman" w:hAnsi="Times New Roman" w:cs="Times New Roman"/>
          <w:color w:val="000000" w:themeColor="text1"/>
          <w:sz w:val="24"/>
          <w:szCs w:val="24"/>
        </w:rPr>
        <w:t>,</w:t>
      </w:r>
      <w:r w:rsidR="009F08D1">
        <w:rPr>
          <w:rFonts w:ascii="Times New Roman" w:hAnsi="Times New Roman" w:cs="Times New Roman"/>
          <w:color w:val="000000" w:themeColor="text1"/>
          <w:sz w:val="24"/>
          <w:szCs w:val="24"/>
        </w:rPr>
        <w:t>249</w:t>
      </w:r>
      <w:r w:rsidR="00FD57E7" w:rsidRPr="00813D2F">
        <w:rPr>
          <w:rFonts w:ascii="Times New Roman" w:hAnsi="Times New Roman" w:cs="Times New Roman"/>
          <w:color w:val="000000" w:themeColor="text1"/>
          <w:sz w:val="24"/>
          <w:szCs w:val="24"/>
        </w:rPr>
        <w:t xml:space="preserve"> trilyon </w:t>
      </w:r>
      <w:r w:rsidR="00F643CE" w:rsidRPr="00813D2F">
        <w:rPr>
          <w:rFonts w:ascii="Times New Roman" w:hAnsi="Times New Roman" w:cs="Times New Roman"/>
          <w:color w:val="000000" w:themeColor="text1"/>
          <w:sz w:val="24"/>
          <w:szCs w:val="24"/>
        </w:rPr>
        <w:t xml:space="preserve">dolar </w:t>
      </w:r>
      <w:r w:rsidR="00FD57E7" w:rsidRPr="00813D2F">
        <w:rPr>
          <w:rFonts w:ascii="Times New Roman" w:hAnsi="Times New Roman" w:cs="Times New Roman"/>
          <w:color w:val="000000" w:themeColor="text1"/>
          <w:sz w:val="24"/>
          <w:szCs w:val="24"/>
        </w:rPr>
        <w:t>seviye</w:t>
      </w:r>
      <w:r w:rsidR="00D94318" w:rsidRPr="00813D2F">
        <w:rPr>
          <w:rFonts w:ascii="Times New Roman" w:hAnsi="Times New Roman" w:cs="Times New Roman"/>
          <w:color w:val="000000" w:themeColor="text1"/>
          <w:sz w:val="24"/>
          <w:szCs w:val="24"/>
        </w:rPr>
        <w:t>sinde</w:t>
      </w:r>
      <w:r w:rsidR="002673A0">
        <w:rPr>
          <w:rFonts w:ascii="Times New Roman" w:hAnsi="Times New Roman" w:cs="Times New Roman"/>
          <w:color w:val="000000" w:themeColor="text1"/>
          <w:sz w:val="24"/>
          <w:szCs w:val="24"/>
        </w:rPr>
        <w:t>dir.</w:t>
      </w:r>
    </w:p>
    <w:p w:rsidR="005742AB" w:rsidRPr="008C111D" w:rsidRDefault="0072515E" w:rsidP="00002AE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Plan</w:t>
      </w:r>
      <w:r w:rsidR="00465D02">
        <w:rPr>
          <w:rFonts w:ascii="Times New Roman" w:hAnsi="Times New Roman" w:cs="Times New Roman"/>
          <w:sz w:val="24"/>
          <w:szCs w:val="24"/>
        </w:rPr>
        <w:t>l</w:t>
      </w:r>
      <w:r>
        <w:rPr>
          <w:rFonts w:ascii="Times New Roman" w:hAnsi="Times New Roman" w:cs="Times New Roman"/>
          <w:sz w:val="24"/>
          <w:szCs w:val="24"/>
        </w:rPr>
        <w:t>an</w:t>
      </w:r>
      <w:r w:rsidR="00465D02">
        <w:rPr>
          <w:rFonts w:ascii="Times New Roman" w:hAnsi="Times New Roman" w:cs="Times New Roman"/>
          <w:sz w:val="24"/>
          <w:szCs w:val="24"/>
        </w:rPr>
        <w:t>an</w:t>
      </w:r>
      <w:r>
        <w:rPr>
          <w:rFonts w:ascii="Times New Roman" w:hAnsi="Times New Roman" w:cs="Times New Roman"/>
          <w:sz w:val="24"/>
          <w:szCs w:val="24"/>
        </w:rPr>
        <w:t xml:space="preserve"> “mega” ve “</w:t>
      </w:r>
      <w:proofErr w:type="spellStart"/>
      <w:r>
        <w:rPr>
          <w:rFonts w:ascii="Times New Roman" w:hAnsi="Times New Roman" w:cs="Times New Roman"/>
          <w:sz w:val="24"/>
          <w:szCs w:val="24"/>
        </w:rPr>
        <w:t>giga</w:t>
      </w:r>
      <w:proofErr w:type="spellEnd"/>
      <w:r>
        <w:rPr>
          <w:rFonts w:ascii="Times New Roman" w:hAnsi="Times New Roman" w:cs="Times New Roman"/>
          <w:sz w:val="24"/>
          <w:szCs w:val="24"/>
        </w:rPr>
        <w:t>” projelerin devreye alınmasıyla</w:t>
      </w:r>
      <w:r w:rsidR="005742AB" w:rsidRPr="005742AB">
        <w:rPr>
          <w:rFonts w:ascii="Times New Roman" w:hAnsi="Times New Roman" w:cs="Times New Roman"/>
          <w:sz w:val="24"/>
          <w:szCs w:val="24"/>
        </w:rPr>
        <w:t>, firmaların ülkeleri dışında üstlendikleri işleri gösteren uluslararası müteahhitlik hizmetleri büyüklüğünün, bu</w:t>
      </w:r>
      <w:r w:rsidR="00212B02">
        <w:rPr>
          <w:rFonts w:ascii="Times New Roman" w:hAnsi="Times New Roman" w:cs="Times New Roman"/>
          <w:sz w:val="24"/>
          <w:szCs w:val="24"/>
        </w:rPr>
        <w:t xml:space="preserve">günlerdeki </w:t>
      </w:r>
      <w:r w:rsidR="00D7144B">
        <w:rPr>
          <w:rFonts w:ascii="Times New Roman" w:hAnsi="Times New Roman" w:cs="Times New Roman"/>
          <w:sz w:val="24"/>
          <w:szCs w:val="24"/>
        </w:rPr>
        <w:t>5</w:t>
      </w:r>
      <w:bookmarkStart w:id="8" w:name="_GoBack"/>
      <w:bookmarkEnd w:id="8"/>
      <w:r w:rsidR="00E40888">
        <w:rPr>
          <w:rFonts w:ascii="Times New Roman" w:hAnsi="Times New Roman" w:cs="Times New Roman"/>
          <w:sz w:val="24"/>
          <w:szCs w:val="24"/>
        </w:rPr>
        <w:t xml:space="preserve">00 milyar dolardan </w:t>
      </w:r>
      <w:r>
        <w:rPr>
          <w:rFonts w:ascii="Times New Roman" w:hAnsi="Times New Roman" w:cs="Times New Roman"/>
          <w:sz w:val="24"/>
          <w:szCs w:val="24"/>
        </w:rPr>
        <w:t>1,25</w:t>
      </w:r>
      <w:r w:rsidR="005742AB" w:rsidRPr="005742AB">
        <w:rPr>
          <w:rFonts w:ascii="Times New Roman" w:hAnsi="Times New Roman" w:cs="Times New Roman"/>
          <w:sz w:val="24"/>
          <w:szCs w:val="24"/>
        </w:rPr>
        <w:t xml:space="preserve"> </w:t>
      </w:r>
      <w:r>
        <w:rPr>
          <w:rFonts w:ascii="Times New Roman" w:hAnsi="Times New Roman" w:cs="Times New Roman"/>
          <w:sz w:val="24"/>
          <w:szCs w:val="24"/>
        </w:rPr>
        <w:t>trilyon</w:t>
      </w:r>
      <w:r w:rsidR="005742AB" w:rsidRPr="005742AB">
        <w:rPr>
          <w:rFonts w:ascii="Times New Roman" w:hAnsi="Times New Roman" w:cs="Times New Roman"/>
          <w:sz w:val="24"/>
          <w:szCs w:val="24"/>
        </w:rPr>
        <w:t xml:space="preserve"> dolara çıkması öngörülmektedir.</w:t>
      </w:r>
    </w:p>
    <w:p w:rsidR="00FD57E7" w:rsidRPr="00781EED" w:rsidRDefault="00C41455" w:rsidP="00002AE9">
      <w:p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Diğer taraftan, yurt</w:t>
      </w:r>
      <w:r w:rsidR="006F0CB6">
        <w:rPr>
          <w:rFonts w:ascii="Times New Roman" w:hAnsi="Times New Roman" w:cs="Times New Roman"/>
          <w:sz w:val="24"/>
          <w:szCs w:val="24"/>
        </w:rPr>
        <w:t xml:space="preserve"> </w:t>
      </w:r>
      <w:r w:rsidR="00FD57E7" w:rsidRPr="00FD57E7">
        <w:rPr>
          <w:rFonts w:ascii="Times New Roman" w:hAnsi="Times New Roman" w:cs="Times New Roman"/>
          <w:sz w:val="24"/>
          <w:szCs w:val="24"/>
        </w:rPr>
        <w:t xml:space="preserve">dışı müteahhitlik hizmetleri sektörümüz, ülkemizin yetişmiş insan gücü, teknik birikimi ve teknolojiye adaptasyonu, iş deneyimi ve disiplini, coğrafi konumu, bölge ülkeleri ile siyasi ve kültürel yakınlığı gibi avantajlarının kullanılması ve kamu kuruluşları ile özel sektör arasındaki koordinasyon, işbirliği ve ortak hareket etme bilincinin sağlam bir şekilde yerleştirilmesi sayesinde </w:t>
      </w:r>
      <w:r w:rsidR="00D57774">
        <w:rPr>
          <w:rFonts w:ascii="Times New Roman" w:hAnsi="Times New Roman" w:cs="Times New Roman"/>
          <w:b/>
          <w:sz w:val="24"/>
          <w:szCs w:val="24"/>
        </w:rPr>
        <w:t xml:space="preserve">1972’den </w:t>
      </w:r>
      <w:r w:rsidR="001D6B5B">
        <w:rPr>
          <w:rFonts w:ascii="Times New Roman" w:hAnsi="Times New Roman" w:cs="Times New Roman"/>
          <w:b/>
          <w:sz w:val="24"/>
          <w:szCs w:val="24"/>
        </w:rPr>
        <w:t>günümüze</w:t>
      </w:r>
      <w:r w:rsidR="00FD57E7" w:rsidRPr="00B22B5A">
        <w:rPr>
          <w:rFonts w:ascii="Times New Roman" w:hAnsi="Times New Roman" w:cs="Times New Roman"/>
          <w:b/>
          <w:sz w:val="24"/>
          <w:szCs w:val="24"/>
        </w:rPr>
        <w:t xml:space="preserve"> kadar 1</w:t>
      </w:r>
      <w:r w:rsidR="002D4777">
        <w:rPr>
          <w:rFonts w:ascii="Times New Roman" w:hAnsi="Times New Roman" w:cs="Times New Roman"/>
          <w:b/>
          <w:sz w:val="24"/>
          <w:szCs w:val="24"/>
        </w:rPr>
        <w:t>3</w:t>
      </w:r>
      <w:r w:rsidR="00FD5D95">
        <w:rPr>
          <w:rFonts w:ascii="Times New Roman" w:hAnsi="Times New Roman" w:cs="Times New Roman"/>
          <w:b/>
          <w:sz w:val="24"/>
          <w:szCs w:val="24"/>
        </w:rPr>
        <w:t>7</w:t>
      </w:r>
      <w:r w:rsidR="00405E4E">
        <w:rPr>
          <w:rFonts w:ascii="Times New Roman" w:hAnsi="Times New Roman" w:cs="Times New Roman"/>
          <w:b/>
          <w:sz w:val="24"/>
          <w:szCs w:val="24"/>
        </w:rPr>
        <w:t xml:space="preserve"> ülkede </w:t>
      </w:r>
      <w:r w:rsidR="00EE60A0">
        <w:rPr>
          <w:rFonts w:ascii="Times New Roman" w:hAnsi="Times New Roman" w:cs="Times New Roman"/>
          <w:b/>
          <w:sz w:val="24"/>
          <w:szCs w:val="24"/>
        </w:rPr>
        <w:t>5</w:t>
      </w:r>
      <w:r w:rsidR="001D6B5B">
        <w:rPr>
          <w:rFonts w:ascii="Times New Roman" w:hAnsi="Times New Roman" w:cs="Times New Roman"/>
          <w:b/>
          <w:sz w:val="24"/>
          <w:szCs w:val="24"/>
        </w:rPr>
        <w:t>2</w:t>
      </w:r>
      <w:r w:rsidR="00461CE3">
        <w:rPr>
          <w:rFonts w:ascii="Times New Roman" w:hAnsi="Times New Roman" w:cs="Times New Roman"/>
          <w:b/>
          <w:sz w:val="24"/>
          <w:szCs w:val="24"/>
        </w:rPr>
        <w:t>2</w:t>
      </w:r>
      <w:r w:rsidR="001D6B5B">
        <w:rPr>
          <w:rFonts w:ascii="Times New Roman" w:hAnsi="Times New Roman" w:cs="Times New Roman"/>
          <w:b/>
          <w:sz w:val="24"/>
          <w:szCs w:val="24"/>
        </w:rPr>
        <w:t>,</w:t>
      </w:r>
      <w:r w:rsidR="007A117D">
        <w:rPr>
          <w:rFonts w:ascii="Times New Roman" w:hAnsi="Times New Roman" w:cs="Times New Roman"/>
          <w:b/>
          <w:sz w:val="24"/>
          <w:szCs w:val="24"/>
        </w:rPr>
        <w:t>9</w:t>
      </w:r>
      <w:r w:rsidR="004A5207">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 xml:space="preserve">milyar dolar değerinde </w:t>
      </w:r>
      <w:r w:rsidR="00BE7319">
        <w:rPr>
          <w:rFonts w:ascii="Times New Roman" w:hAnsi="Times New Roman" w:cs="Times New Roman"/>
          <w:b/>
          <w:sz w:val="24"/>
          <w:szCs w:val="24"/>
        </w:rPr>
        <w:t>12.</w:t>
      </w:r>
      <w:r w:rsidR="001D6B5B">
        <w:rPr>
          <w:rFonts w:ascii="Times New Roman" w:hAnsi="Times New Roman" w:cs="Times New Roman"/>
          <w:b/>
          <w:sz w:val="24"/>
          <w:szCs w:val="24"/>
        </w:rPr>
        <w:t>3</w:t>
      </w:r>
      <w:r w:rsidR="00465D02">
        <w:rPr>
          <w:rFonts w:ascii="Times New Roman" w:hAnsi="Times New Roman" w:cs="Times New Roman"/>
          <w:b/>
          <w:sz w:val="24"/>
          <w:szCs w:val="24"/>
        </w:rPr>
        <w:t>2</w:t>
      </w:r>
      <w:r w:rsidR="00461CE3">
        <w:rPr>
          <w:rFonts w:ascii="Times New Roman" w:hAnsi="Times New Roman" w:cs="Times New Roman"/>
          <w:b/>
          <w:sz w:val="24"/>
          <w:szCs w:val="24"/>
        </w:rPr>
        <w:t>7</w:t>
      </w:r>
      <w:r w:rsidR="00BE7319">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proje üstlenmiştir</w:t>
      </w:r>
      <w:bookmarkEnd w:id="4"/>
      <w:bookmarkEnd w:id="5"/>
      <w:bookmarkEnd w:id="6"/>
      <w:bookmarkEnd w:id="7"/>
      <w:r w:rsidR="00AE5512">
        <w:rPr>
          <w:rFonts w:ascii="Times New Roman" w:hAnsi="Times New Roman" w:cs="Times New Roman"/>
          <w:sz w:val="24"/>
          <w:szCs w:val="24"/>
        </w:rPr>
        <w:t>.</w:t>
      </w:r>
    </w:p>
    <w:p w:rsidR="00FD57E7" w:rsidRPr="00FD57E7" w:rsidRDefault="00FD57E7" w:rsidP="000C491A">
      <w:pPr>
        <w:spacing w:after="0" w:line="276" w:lineRule="auto"/>
        <w:jc w:val="center"/>
        <w:rPr>
          <w:rFonts w:ascii="Times New Roman" w:hAnsi="Times New Roman" w:cs="Times New Roman"/>
          <w:sz w:val="24"/>
          <w:szCs w:val="24"/>
        </w:rPr>
      </w:pPr>
      <w:r w:rsidRPr="00FD57E7">
        <w:rPr>
          <w:rFonts w:ascii="Times New Roman" w:hAnsi="Times New Roman" w:cs="Times New Roman"/>
          <w:noProof/>
          <w:sz w:val="24"/>
          <w:szCs w:val="24"/>
          <w:lang w:eastAsia="tr-TR"/>
        </w:rPr>
        <w:lastRenderedPageBreak/>
        <w:drawing>
          <wp:inline distT="0" distB="0" distL="0" distR="0">
            <wp:extent cx="5857875" cy="3228975"/>
            <wp:effectExtent l="0" t="0" r="15240" b="18415"/>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552D" w:rsidRPr="0098552D" w:rsidRDefault="0098552D" w:rsidP="000C491A">
      <w:pPr>
        <w:spacing w:after="0" w:line="276" w:lineRule="auto"/>
        <w:ind w:firstLine="567"/>
        <w:jc w:val="both"/>
        <w:rPr>
          <w:rFonts w:ascii="Times New Roman" w:hAnsi="Times New Roman" w:cs="Times New Roman"/>
          <w:sz w:val="20"/>
          <w:szCs w:val="24"/>
        </w:rPr>
      </w:pPr>
    </w:p>
    <w:p w:rsidR="00FD57E7" w:rsidRPr="00CC041E" w:rsidRDefault="00FD57E7" w:rsidP="00002AE9">
      <w:pPr>
        <w:spacing w:after="0" w:line="276" w:lineRule="auto"/>
        <w:jc w:val="both"/>
        <w:rPr>
          <w:rFonts w:ascii="Times New Roman" w:hAnsi="Times New Roman" w:cs="Times New Roman"/>
          <w:sz w:val="24"/>
          <w:szCs w:val="24"/>
        </w:rPr>
      </w:pPr>
      <w:r w:rsidRPr="00FD57E7">
        <w:rPr>
          <w:rFonts w:ascii="Times New Roman" w:hAnsi="Times New Roman" w:cs="Times New Roman"/>
          <w:sz w:val="24"/>
          <w:szCs w:val="24"/>
        </w:rPr>
        <w:t>2005 yılında toplam üstlenilen proje bedelinde ilk defa 10 milyar dolar</w:t>
      </w:r>
      <w:r w:rsidR="00B0625C">
        <w:rPr>
          <w:rFonts w:ascii="Times New Roman" w:hAnsi="Times New Roman" w:cs="Times New Roman"/>
          <w:sz w:val="24"/>
          <w:szCs w:val="24"/>
        </w:rPr>
        <w:t>ı</w:t>
      </w:r>
      <w:r w:rsidRPr="00FD57E7">
        <w:rPr>
          <w:rFonts w:ascii="Times New Roman" w:hAnsi="Times New Roman" w:cs="Times New Roman"/>
          <w:sz w:val="24"/>
          <w:szCs w:val="24"/>
        </w:rPr>
        <w:t xml:space="preserve"> aşa</w:t>
      </w:r>
      <w:r w:rsidR="00BC05BA">
        <w:rPr>
          <w:rFonts w:ascii="Times New Roman" w:hAnsi="Times New Roman" w:cs="Times New Roman"/>
          <w:sz w:val="24"/>
          <w:szCs w:val="24"/>
        </w:rPr>
        <w:t>n Türk müteahhitlik sektörü 2006-2016</w:t>
      </w:r>
      <w:r w:rsidRPr="00FD57E7">
        <w:rPr>
          <w:rFonts w:ascii="Times New Roman" w:hAnsi="Times New Roman" w:cs="Times New Roman"/>
          <w:sz w:val="24"/>
          <w:szCs w:val="24"/>
        </w:rPr>
        <w:t xml:space="preserve"> yıl</w:t>
      </w:r>
      <w:r w:rsidR="00BC05BA">
        <w:rPr>
          <w:rFonts w:ascii="Times New Roman" w:hAnsi="Times New Roman" w:cs="Times New Roman"/>
          <w:sz w:val="24"/>
          <w:szCs w:val="24"/>
        </w:rPr>
        <w:t xml:space="preserve">ları arasında </w:t>
      </w:r>
      <w:r w:rsidRPr="00FD57E7">
        <w:rPr>
          <w:rFonts w:ascii="Times New Roman" w:hAnsi="Times New Roman" w:cs="Times New Roman"/>
          <w:sz w:val="24"/>
          <w:szCs w:val="24"/>
        </w:rPr>
        <w:t>20 milyar doların üzerinde bir performans sergilem</w:t>
      </w:r>
      <w:r w:rsidR="00713539">
        <w:rPr>
          <w:rFonts w:ascii="Times New Roman" w:hAnsi="Times New Roman" w:cs="Times New Roman"/>
          <w:sz w:val="24"/>
          <w:szCs w:val="24"/>
        </w:rPr>
        <w:t>iştir</w:t>
      </w:r>
      <w:r w:rsidRPr="00FD57E7">
        <w:rPr>
          <w:rFonts w:ascii="Times New Roman" w:hAnsi="Times New Roman" w:cs="Times New Roman"/>
          <w:sz w:val="24"/>
          <w:szCs w:val="24"/>
        </w:rPr>
        <w:t xml:space="preserve">. </w:t>
      </w:r>
      <w:r w:rsidR="00CC041E">
        <w:rPr>
          <w:rFonts w:ascii="Times New Roman" w:hAnsi="Times New Roman" w:cs="Times New Roman"/>
          <w:sz w:val="24"/>
          <w:szCs w:val="24"/>
        </w:rPr>
        <w:t xml:space="preserve">2012, </w:t>
      </w:r>
      <w:r w:rsidR="00F40862">
        <w:rPr>
          <w:rFonts w:ascii="Times New Roman" w:hAnsi="Times New Roman" w:cs="Times New Roman"/>
          <w:sz w:val="24"/>
          <w:szCs w:val="24"/>
        </w:rPr>
        <w:t>201</w:t>
      </w:r>
      <w:r w:rsidR="00ED0931">
        <w:rPr>
          <w:rFonts w:ascii="Times New Roman" w:hAnsi="Times New Roman" w:cs="Times New Roman"/>
          <w:sz w:val="24"/>
          <w:szCs w:val="24"/>
        </w:rPr>
        <w:t>3</w:t>
      </w:r>
      <w:r w:rsidR="00F40862">
        <w:rPr>
          <w:rFonts w:ascii="Times New Roman" w:hAnsi="Times New Roman" w:cs="Times New Roman"/>
          <w:sz w:val="24"/>
          <w:szCs w:val="24"/>
        </w:rPr>
        <w:t xml:space="preserve"> </w:t>
      </w:r>
      <w:r w:rsidR="00CC041E">
        <w:rPr>
          <w:rFonts w:ascii="Times New Roman" w:hAnsi="Times New Roman" w:cs="Times New Roman"/>
          <w:sz w:val="24"/>
          <w:szCs w:val="24"/>
        </w:rPr>
        <w:t xml:space="preserve">ve 2021 </w:t>
      </w:r>
      <w:r w:rsidR="008B2716">
        <w:rPr>
          <w:rFonts w:ascii="Times New Roman" w:hAnsi="Times New Roman" w:cs="Times New Roman"/>
          <w:sz w:val="24"/>
          <w:szCs w:val="24"/>
        </w:rPr>
        <w:t xml:space="preserve">yıllarında </w:t>
      </w:r>
      <w:r w:rsidRPr="00FD57E7">
        <w:rPr>
          <w:rFonts w:ascii="Times New Roman" w:hAnsi="Times New Roman" w:cs="Times New Roman"/>
          <w:sz w:val="24"/>
          <w:szCs w:val="24"/>
        </w:rPr>
        <w:t>üstlenilen</w:t>
      </w:r>
      <w:r w:rsidR="005E6DAA">
        <w:rPr>
          <w:rFonts w:ascii="Times New Roman" w:hAnsi="Times New Roman" w:cs="Times New Roman"/>
          <w:sz w:val="24"/>
          <w:szCs w:val="24"/>
        </w:rPr>
        <w:t xml:space="preserve"> </w:t>
      </w:r>
      <w:r w:rsidR="00CC041E">
        <w:rPr>
          <w:rFonts w:ascii="Times New Roman" w:hAnsi="Times New Roman" w:cs="Times New Roman"/>
          <w:sz w:val="24"/>
          <w:szCs w:val="24"/>
        </w:rPr>
        <w:t xml:space="preserve">30-32 </w:t>
      </w:r>
      <w:r w:rsidRPr="00FD57E7">
        <w:rPr>
          <w:rFonts w:ascii="Times New Roman" w:hAnsi="Times New Roman" w:cs="Times New Roman"/>
          <w:sz w:val="24"/>
          <w:szCs w:val="24"/>
        </w:rPr>
        <w:t xml:space="preserve">milyar dolarlık proje </w:t>
      </w:r>
      <w:r w:rsidR="00BC05BA">
        <w:rPr>
          <w:rFonts w:ascii="Times New Roman" w:hAnsi="Times New Roman" w:cs="Times New Roman"/>
          <w:sz w:val="24"/>
          <w:szCs w:val="24"/>
        </w:rPr>
        <w:t>bedelleri</w:t>
      </w:r>
      <w:r w:rsidR="00AF6641">
        <w:rPr>
          <w:rFonts w:ascii="Times New Roman" w:hAnsi="Times New Roman" w:cs="Times New Roman"/>
          <w:sz w:val="24"/>
          <w:szCs w:val="24"/>
        </w:rPr>
        <w:t xml:space="preserve"> bandı,</w:t>
      </w:r>
      <w:r w:rsidR="00365D57">
        <w:rPr>
          <w:rFonts w:ascii="Times New Roman" w:hAnsi="Times New Roman" w:cs="Times New Roman"/>
          <w:sz w:val="24"/>
          <w:szCs w:val="24"/>
        </w:rPr>
        <w:t xml:space="preserve"> </w:t>
      </w:r>
      <w:r w:rsidRPr="00FD57E7">
        <w:rPr>
          <w:rFonts w:ascii="Times New Roman" w:hAnsi="Times New Roman" w:cs="Times New Roman"/>
          <w:sz w:val="24"/>
          <w:szCs w:val="24"/>
        </w:rPr>
        <w:t>ulaşılan en yüksek rakam olmuştur.</w:t>
      </w:r>
      <w:r w:rsidR="00713539">
        <w:rPr>
          <w:rFonts w:ascii="Times New Roman" w:hAnsi="Times New Roman" w:cs="Times New Roman"/>
          <w:sz w:val="24"/>
          <w:szCs w:val="24"/>
        </w:rPr>
        <w:t xml:space="preserve"> </w:t>
      </w:r>
      <w:r w:rsidR="00CC041E" w:rsidRPr="00CC041E">
        <w:rPr>
          <w:rFonts w:ascii="Times New Roman" w:hAnsi="Times New Roman" w:cs="Times New Roman"/>
          <w:sz w:val="24"/>
          <w:szCs w:val="24"/>
        </w:rPr>
        <w:t>202</w:t>
      </w:r>
      <w:r w:rsidR="005762C0">
        <w:rPr>
          <w:rFonts w:ascii="Times New Roman" w:hAnsi="Times New Roman" w:cs="Times New Roman"/>
          <w:sz w:val="24"/>
          <w:szCs w:val="24"/>
        </w:rPr>
        <w:t>3</w:t>
      </w:r>
      <w:r w:rsidR="00CC041E" w:rsidRPr="00CC041E">
        <w:rPr>
          <w:rFonts w:ascii="Times New Roman" w:hAnsi="Times New Roman" w:cs="Times New Roman"/>
          <w:sz w:val="24"/>
          <w:szCs w:val="24"/>
        </w:rPr>
        <w:t xml:space="preserve"> yılında ise, ekonomik konjonktür ve </w:t>
      </w:r>
      <w:r w:rsidR="00495742" w:rsidRPr="00CC041E">
        <w:rPr>
          <w:rFonts w:ascii="Times New Roman" w:hAnsi="Times New Roman" w:cs="Times New Roman"/>
          <w:sz w:val="24"/>
          <w:szCs w:val="24"/>
        </w:rPr>
        <w:t xml:space="preserve">Rusya-Ukrayna </w:t>
      </w:r>
      <w:r w:rsidR="00CC041E" w:rsidRPr="00CC041E">
        <w:rPr>
          <w:rFonts w:ascii="Times New Roman" w:hAnsi="Times New Roman" w:cs="Times New Roman"/>
          <w:sz w:val="24"/>
          <w:szCs w:val="24"/>
        </w:rPr>
        <w:t xml:space="preserve">çatışması gibi tüm dünyayı etkileyen sorunlara rağmen </w:t>
      </w:r>
      <w:r w:rsidR="00495742" w:rsidRPr="00CC041E">
        <w:rPr>
          <w:rFonts w:ascii="Times New Roman" w:hAnsi="Times New Roman" w:cs="Times New Roman"/>
          <w:sz w:val="24"/>
          <w:szCs w:val="24"/>
        </w:rPr>
        <w:t xml:space="preserve">yıllık proje büyüklüğü </w:t>
      </w:r>
      <w:r w:rsidR="005762C0">
        <w:rPr>
          <w:rFonts w:ascii="Times New Roman" w:hAnsi="Times New Roman" w:cs="Times New Roman"/>
          <w:sz w:val="24"/>
          <w:szCs w:val="24"/>
        </w:rPr>
        <w:t>2</w:t>
      </w:r>
      <w:r w:rsidR="00BD4F8A">
        <w:rPr>
          <w:rFonts w:ascii="Times New Roman" w:hAnsi="Times New Roman" w:cs="Times New Roman"/>
          <w:sz w:val="24"/>
          <w:szCs w:val="24"/>
        </w:rPr>
        <w:t>8</w:t>
      </w:r>
      <w:r w:rsidR="005762C0">
        <w:rPr>
          <w:rFonts w:ascii="Times New Roman" w:hAnsi="Times New Roman" w:cs="Times New Roman"/>
          <w:sz w:val="24"/>
          <w:szCs w:val="24"/>
        </w:rPr>
        <w:t xml:space="preserve"> </w:t>
      </w:r>
      <w:r w:rsidR="00495742" w:rsidRPr="00CC041E">
        <w:rPr>
          <w:rFonts w:ascii="Times New Roman" w:hAnsi="Times New Roman" w:cs="Times New Roman"/>
          <w:sz w:val="24"/>
          <w:szCs w:val="24"/>
        </w:rPr>
        <w:t>milyar dolar olarak gerçekleşmiştir.</w:t>
      </w:r>
    </w:p>
    <w:p w:rsidR="000C491A" w:rsidRPr="00AD6787" w:rsidRDefault="000C491A" w:rsidP="000C491A">
      <w:pPr>
        <w:spacing w:after="0" w:line="276" w:lineRule="auto"/>
        <w:jc w:val="both"/>
        <w:rPr>
          <w:rFonts w:ascii="Times New Roman" w:hAnsi="Times New Roman" w:cs="Times New Roman"/>
          <w:sz w:val="20"/>
          <w:szCs w:val="24"/>
        </w:rPr>
      </w:pPr>
    </w:p>
    <w:tbl>
      <w:tblPr>
        <w:tblStyle w:val="KlavuzTablo1Ak-Vurgu11"/>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65"/>
        <w:gridCol w:w="2462"/>
        <w:gridCol w:w="1943"/>
        <w:gridCol w:w="2451"/>
      </w:tblGrid>
      <w:tr w:rsidR="00203F07" w:rsidRPr="00691738" w:rsidTr="00CC041E">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71" w:type="dxa"/>
            <w:tcBorders>
              <w:bottom w:val="none" w:sz="0" w:space="0" w:color="auto"/>
            </w:tcBorders>
            <w:shd w:val="clear" w:color="auto" w:fill="9CC2E5" w:themeFill="accent1" w:themeFillTint="99"/>
            <w:noWrap/>
            <w:vAlign w:val="center"/>
            <w:hideMark/>
          </w:tcPr>
          <w:p w:rsidR="00203F07" w:rsidRPr="00691738" w:rsidRDefault="00203F07" w:rsidP="00600C3D">
            <w:pPr>
              <w:spacing w:line="276" w:lineRule="auto"/>
              <w:jc w:val="center"/>
              <w:rPr>
                <w:rFonts w:ascii="Times New Roman" w:hAnsi="Times New Roman" w:cs="Times New Roman"/>
                <w:sz w:val="24"/>
                <w:szCs w:val="24"/>
              </w:rPr>
            </w:pPr>
            <w:r w:rsidRPr="00691738">
              <w:rPr>
                <w:rFonts w:ascii="Times New Roman" w:hAnsi="Times New Roman" w:cs="Times New Roman"/>
                <w:sz w:val="24"/>
                <w:szCs w:val="24"/>
              </w:rPr>
              <w:t>Yıllar</w:t>
            </w:r>
          </w:p>
        </w:tc>
        <w:tc>
          <w:tcPr>
            <w:tcW w:w="1465" w:type="dxa"/>
            <w:tcBorders>
              <w:bottom w:val="none" w:sz="0" w:space="0" w:color="auto"/>
            </w:tcBorders>
            <w:shd w:val="clear" w:color="auto" w:fill="9CC2E5" w:themeFill="accent1" w:themeFillTint="99"/>
            <w:noWrap/>
            <w:vAlign w:val="center"/>
            <w:hideMark/>
          </w:tcPr>
          <w:p w:rsidR="00203F07" w:rsidRPr="00691738" w:rsidRDefault="00203F07" w:rsidP="00600C3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Proje Sayısı</w:t>
            </w:r>
          </w:p>
        </w:tc>
        <w:tc>
          <w:tcPr>
            <w:tcW w:w="2462" w:type="dxa"/>
            <w:tcBorders>
              <w:bottom w:val="none" w:sz="0" w:space="0" w:color="auto"/>
            </w:tcBorders>
            <w:shd w:val="clear" w:color="auto" w:fill="9CC2E5" w:themeFill="accent1" w:themeFillTint="99"/>
            <w:noWrap/>
            <w:vAlign w:val="center"/>
            <w:hideMark/>
          </w:tcPr>
          <w:p w:rsidR="00203F07" w:rsidRPr="00691738" w:rsidRDefault="00203F07" w:rsidP="009855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Yıllık Toplam Proje Bedeli ($)</w:t>
            </w:r>
          </w:p>
        </w:tc>
        <w:tc>
          <w:tcPr>
            <w:tcW w:w="1943" w:type="dxa"/>
            <w:tcBorders>
              <w:bottom w:val="none" w:sz="0" w:space="0" w:color="auto"/>
            </w:tcBorders>
            <w:shd w:val="clear" w:color="auto" w:fill="9CC2E5" w:themeFill="accent1" w:themeFillTint="99"/>
          </w:tcPr>
          <w:p w:rsidR="00203F07" w:rsidRPr="00691738" w:rsidRDefault="00637433" w:rsidP="009855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Kümülatif Proje Bedeli ($)</w:t>
            </w:r>
          </w:p>
        </w:tc>
        <w:tc>
          <w:tcPr>
            <w:tcW w:w="2451" w:type="dxa"/>
            <w:tcBorders>
              <w:bottom w:val="none" w:sz="0" w:space="0" w:color="auto"/>
            </w:tcBorders>
            <w:shd w:val="clear" w:color="auto" w:fill="9CC2E5" w:themeFill="accent1" w:themeFillTint="99"/>
            <w:noWrap/>
            <w:vAlign w:val="center"/>
            <w:hideMark/>
          </w:tcPr>
          <w:p w:rsidR="00203F07" w:rsidRPr="00691738" w:rsidRDefault="00203F07" w:rsidP="009855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Ortalama Proje Bedeli ($)</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2008</w:t>
            </w:r>
          </w:p>
        </w:tc>
        <w:tc>
          <w:tcPr>
            <w:tcW w:w="1465" w:type="dxa"/>
            <w:tcBorders>
              <w:top w:val="single" w:sz="4" w:space="0" w:color="333399"/>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667</w:t>
            </w:r>
          </w:p>
        </w:tc>
        <w:tc>
          <w:tcPr>
            <w:tcW w:w="2462" w:type="dxa"/>
            <w:tcBorders>
              <w:top w:val="single" w:sz="4" w:space="0" w:color="333399"/>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24.694.445.968</w:t>
            </w:r>
          </w:p>
        </w:tc>
        <w:tc>
          <w:tcPr>
            <w:tcW w:w="1943" w:type="dxa"/>
            <w:tcBorders>
              <w:top w:val="single" w:sz="4" w:space="0" w:color="333399"/>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150.441.519.822</w:t>
            </w:r>
          </w:p>
        </w:tc>
        <w:tc>
          <w:tcPr>
            <w:tcW w:w="2451" w:type="dxa"/>
            <w:tcBorders>
              <w:top w:val="single" w:sz="4" w:space="0" w:color="333399"/>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37.023.157</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2009</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505</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20.122.950.185</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170.564.470.007</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39.847.426</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2010</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632</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23.372.601.439</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193.937.071.446</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36.981.964</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2011</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561</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24.772.197.117</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218.709.268.562</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44.157.214</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2012</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551</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31.689.151.934</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250.398.420.496</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57.512.072</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2013</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437</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31.226.504.137</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281.624.924.633</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71.456.531</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2014</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361</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26.834.625.099</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308.459.549.732</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74.334.142</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2015</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287</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24.048.599.377</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332.508.149.109</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83.793.029</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2016</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222</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15.034.345.116</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347.542.494.225</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67.722.275</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2017</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314</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17.868.257.459</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365.410.751.685</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56.905.279</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2018</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388</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22.681.305.531</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388.092.057.216</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58.456.973</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2019</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544</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19.939.684.271</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408.031.741.487</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36.653.831</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2020</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386</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16.856.307.147</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424.888.048.634</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43.669.190</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2021</w:t>
            </w:r>
          </w:p>
        </w:tc>
        <w:tc>
          <w:tcPr>
            <w:tcW w:w="1465" w:type="dxa"/>
            <w:tcBorders>
              <w:top w:val="nil"/>
              <w:left w:val="single" w:sz="4" w:space="0" w:color="333399"/>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457</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31.491.118.462</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456.379.167.097</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68.908.355</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2022</w:t>
            </w:r>
          </w:p>
        </w:tc>
        <w:tc>
          <w:tcPr>
            <w:tcW w:w="1465" w:type="dxa"/>
            <w:tcBorders>
              <w:top w:val="nil"/>
              <w:left w:val="single" w:sz="4" w:space="0" w:color="333399"/>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507</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19.957.437.707</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476.336.604.804</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39.363.782</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2023</w:t>
            </w:r>
          </w:p>
        </w:tc>
        <w:tc>
          <w:tcPr>
            <w:tcW w:w="1465" w:type="dxa"/>
            <w:tcBorders>
              <w:top w:val="nil"/>
              <w:left w:val="single" w:sz="4" w:space="0" w:color="333399"/>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436</w:t>
            </w:r>
          </w:p>
        </w:tc>
        <w:tc>
          <w:tcPr>
            <w:tcW w:w="2462" w:type="dxa"/>
            <w:tcBorders>
              <w:top w:val="nil"/>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28.255.762.971</w:t>
            </w:r>
          </w:p>
        </w:tc>
        <w:tc>
          <w:tcPr>
            <w:tcW w:w="1943" w:type="dxa"/>
            <w:tcBorders>
              <w:top w:val="nil"/>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504.592.367.774</w:t>
            </w:r>
          </w:p>
        </w:tc>
        <w:tc>
          <w:tcPr>
            <w:tcW w:w="2451" w:type="dxa"/>
            <w:tcBorders>
              <w:top w:val="nil"/>
              <w:left w:val="nil"/>
              <w:bottom w:val="single" w:sz="4" w:space="0" w:color="333399"/>
              <w:right w:val="single" w:sz="8" w:space="0" w:color="auto"/>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64.806.796</w:t>
            </w:r>
          </w:p>
        </w:tc>
      </w:tr>
      <w:tr w:rsidR="007A117D" w:rsidRPr="00691738" w:rsidTr="00DA6F1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tcPr>
          <w:p w:rsidR="007A117D" w:rsidRPr="00D50EF8" w:rsidRDefault="007A117D" w:rsidP="007A117D">
            <w:pPr>
              <w:jc w:val="center"/>
              <w:rPr>
                <w:rFonts w:ascii="Times New Roman" w:hAnsi="Times New Roman" w:cs="Times New Roman"/>
              </w:rPr>
            </w:pPr>
            <w:r w:rsidRPr="00D50EF8">
              <w:rPr>
                <w:rFonts w:ascii="Times New Roman" w:hAnsi="Times New Roman" w:cs="Times New Roman"/>
              </w:rPr>
              <w:t>2024</w:t>
            </w:r>
          </w:p>
        </w:tc>
        <w:tc>
          <w:tcPr>
            <w:tcW w:w="1465" w:type="dxa"/>
            <w:tcBorders>
              <w:top w:val="single" w:sz="4" w:space="0" w:color="333399"/>
              <w:left w:val="single" w:sz="4" w:space="0" w:color="333399"/>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189</w:t>
            </w:r>
          </w:p>
        </w:tc>
        <w:tc>
          <w:tcPr>
            <w:tcW w:w="2462" w:type="dxa"/>
            <w:tcBorders>
              <w:top w:val="single" w:sz="4" w:space="0" w:color="333399"/>
              <w:left w:val="nil"/>
              <w:bottom w:val="single" w:sz="4" w:space="0" w:color="333399"/>
              <w:right w:val="single" w:sz="4" w:space="0" w:color="333399"/>
            </w:tcBorders>
            <w:shd w:val="clear" w:color="auto" w:fill="auto"/>
            <w:noWrap/>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18.381.827.907</w:t>
            </w:r>
          </w:p>
        </w:tc>
        <w:tc>
          <w:tcPr>
            <w:tcW w:w="1943" w:type="dxa"/>
            <w:tcBorders>
              <w:top w:val="single" w:sz="4" w:space="0" w:color="333399"/>
              <w:left w:val="nil"/>
              <w:bottom w:val="single" w:sz="4" w:space="0" w:color="333399"/>
              <w:right w:val="single" w:sz="4" w:space="0" w:color="333399"/>
            </w:tcBorders>
            <w:shd w:val="clear" w:color="auto" w:fill="auto"/>
          </w:tcPr>
          <w:p w:rsidR="007A117D" w:rsidRPr="00CF33E1"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522.974.195.681</w:t>
            </w:r>
          </w:p>
        </w:tc>
        <w:tc>
          <w:tcPr>
            <w:tcW w:w="2451" w:type="dxa"/>
            <w:tcBorders>
              <w:top w:val="single" w:sz="4" w:space="0" w:color="333399"/>
              <w:left w:val="nil"/>
              <w:bottom w:val="single" w:sz="4" w:space="0" w:color="333399"/>
              <w:right w:val="single" w:sz="8" w:space="0" w:color="auto"/>
            </w:tcBorders>
            <w:shd w:val="clear" w:color="auto" w:fill="auto"/>
            <w:noWrap/>
          </w:tcPr>
          <w:p w:rsidR="007A117D" w:rsidRDefault="007A117D" w:rsidP="007A117D">
            <w:pPr>
              <w:jc w:val="center"/>
              <w:cnfStyle w:val="000000000000" w:firstRow="0" w:lastRow="0" w:firstColumn="0" w:lastColumn="0" w:oddVBand="0" w:evenVBand="0" w:oddHBand="0" w:evenHBand="0" w:firstRowFirstColumn="0" w:firstRowLastColumn="0" w:lastRowFirstColumn="0" w:lastRowLastColumn="0"/>
            </w:pPr>
            <w:r w:rsidRPr="00CF33E1">
              <w:t>97.258.349</w:t>
            </w:r>
          </w:p>
        </w:tc>
      </w:tr>
    </w:tbl>
    <w:p w:rsidR="00FD57E7" w:rsidRDefault="00FD57E7" w:rsidP="00405E4E">
      <w:pPr>
        <w:spacing w:after="0" w:line="240" w:lineRule="auto"/>
        <w:jc w:val="center"/>
        <w:rPr>
          <w:rFonts w:ascii="Times New Roman" w:hAnsi="Times New Roman" w:cs="Times New Roman"/>
          <w:bCs/>
          <w:sz w:val="20"/>
          <w:szCs w:val="24"/>
        </w:rPr>
      </w:pPr>
    </w:p>
    <w:p w:rsidR="00F72131" w:rsidRDefault="00F72131" w:rsidP="00405E4E">
      <w:pPr>
        <w:spacing w:after="0" w:line="240" w:lineRule="auto"/>
        <w:jc w:val="center"/>
        <w:rPr>
          <w:rFonts w:ascii="Times New Roman" w:hAnsi="Times New Roman" w:cs="Times New Roman"/>
          <w:bCs/>
          <w:sz w:val="20"/>
          <w:szCs w:val="24"/>
        </w:rPr>
      </w:pPr>
    </w:p>
    <w:p w:rsidR="00F72131" w:rsidRPr="00AD6787" w:rsidRDefault="00F72131" w:rsidP="00405E4E">
      <w:pPr>
        <w:spacing w:after="0" w:line="240" w:lineRule="auto"/>
        <w:jc w:val="center"/>
        <w:rPr>
          <w:rFonts w:ascii="Times New Roman" w:hAnsi="Times New Roman" w:cs="Times New Roman"/>
          <w:bCs/>
          <w:sz w:val="20"/>
          <w:szCs w:val="24"/>
        </w:rPr>
      </w:pPr>
    </w:p>
    <w:p w:rsidR="002E204B" w:rsidRDefault="002E204B" w:rsidP="00002AE9">
      <w:pPr>
        <w:spacing w:after="0" w:line="276" w:lineRule="auto"/>
        <w:jc w:val="both"/>
        <w:rPr>
          <w:rFonts w:ascii="Times New Roman" w:hAnsi="Times New Roman" w:cs="Times New Roman"/>
          <w:color w:val="000000" w:themeColor="text1"/>
          <w:sz w:val="24"/>
          <w:szCs w:val="24"/>
        </w:rPr>
      </w:pPr>
    </w:p>
    <w:p w:rsidR="00F72131" w:rsidRDefault="00F72131" w:rsidP="00002AE9">
      <w:pPr>
        <w:spacing w:after="0" w:line="276" w:lineRule="auto"/>
        <w:jc w:val="both"/>
        <w:rPr>
          <w:rFonts w:ascii="Times New Roman" w:hAnsi="Times New Roman" w:cs="Times New Roman"/>
          <w:color w:val="000000" w:themeColor="text1"/>
          <w:sz w:val="24"/>
          <w:szCs w:val="24"/>
        </w:rPr>
      </w:pPr>
    </w:p>
    <w:p w:rsidR="00326434" w:rsidRDefault="00326434" w:rsidP="00002AE9">
      <w:pPr>
        <w:spacing w:after="0" w:line="276" w:lineRule="auto"/>
        <w:jc w:val="both"/>
        <w:rPr>
          <w:rFonts w:ascii="Times New Roman" w:hAnsi="Times New Roman" w:cs="Times New Roman"/>
          <w:color w:val="000000" w:themeColor="text1"/>
          <w:sz w:val="24"/>
          <w:szCs w:val="24"/>
        </w:rPr>
      </w:pPr>
    </w:p>
    <w:p w:rsidR="00002AE9" w:rsidRDefault="00FD57E7" w:rsidP="00CC041E">
      <w:pPr>
        <w:spacing w:after="0" w:line="276"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lastRenderedPageBreak/>
        <w:t>2000’li yılların başında o</w:t>
      </w:r>
      <w:r w:rsidR="00781EED">
        <w:rPr>
          <w:rFonts w:ascii="Times New Roman" w:hAnsi="Times New Roman" w:cs="Times New Roman"/>
          <w:color w:val="000000" w:themeColor="text1"/>
          <w:sz w:val="24"/>
          <w:szCs w:val="24"/>
        </w:rPr>
        <w:t>rtalama proje bedeli yaklaşık 21</w:t>
      </w:r>
      <w:r w:rsidRPr="00957299">
        <w:rPr>
          <w:rFonts w:ascii="Times New Roman" w:hAnsi="Times New Roman" w:cs="Times New Roman"/>
          <w:color w:val="000000" w:themeColor="text1"/>
          <w:sz w:val="24"/>
          <w:szCs w:val="24"/>
        </w:rPr>
        <w:t xml:space="preserve"> milyon dolar iken, </w:t>
      </w:r>
      <w:r w:rsidR="005F1E61" w:rsidRPr="00957299">
        <w:rPr>
          <w:rFonts w:ascii="Times New Roman" w:hAnsi="Times New Roman" w:cs="Times New Roman"/>
          <w:color w:val="000000" w:themeColor="text1"/>
          <w:sz w:val="24"/>
          <w:szCs w:val="24"/>
        </w:rPr>
        <w:t xml:space="preserve">2015 yılında </w:t>
      </w:r>
      <w:r w:rsidR="0099462D" w:rsidRPr="00957299">
        <w:rPr>
          <w:rFonts w:ascii="Times New Roman" w:hAnsi="Times New Roman" w:cs="Times New Roman"/>
          <w:color w:val="000000" w:themeColor="text1"/>
          <w:sz w:val="24"/>
          <w:szCs w:val="24"/>
        </w:rPr>
        <w:t>8</w:t>
      </w:r>
      <w:r w:rsidR="00127626">
        <w:rPr>
          <w:rFonts w:ascii="Times New Roman" w:hAnsi="Times New Roman" w:cs="Times New Roman"/>
          <w:color w:val="000000" w:themeColor="text1"/>
          <w:sz w:val="24"/>
          <w:szCs w:val="24"/>
        </w:rPr>
        <w:t>4</w:t>
      </w:r>
      <w:r w:rsidR="005F1E61" w:rsidRPr="00957299">
        <w:rPr>
          <w:rFonts w:ascii="Times New Roman" w:hAnsi="Times New Roman" w:cs="Times New Roman"/>
          <w:color w:val="000000" w:themeColor="text1"/>
          <w:sz w:val="24"/>
          <w:szCs w:val="24"/>
        </w:rPr>
        <w:t xml:space="preserve"> milyon dolar ortalama proje bedeli</w:t>
      </w:r>
      <w:r w:rsidR="00D53186" w:rsidRPr="00957299">
        <w:rPr>
          <w:rFonts w:ascii="Times New Roman" w:hAnsi="Times New Roman" w:cs="Times New Roman"/>
          <w:color w:val="000000" w:themeColor="text1"/>
          <w:sz w:val="24"/>
          <w:szCs w:val="24"/>
        </w:rPr>
        <w:t>yle rekor kırılmıştır.</w:t>
      </w:r>
      <w:r w:rsidR="00E01D8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Son dönemde firmalarımızın birçok ülkede küçük çaplı projeleri de üstlenmeleri nedeniyle proje sayısı artarken ortalama proje bedelinde yıllar itibariyle dalgalanmalar görülebilmektedir. </w:t>
      </w:r>
      <w:r w:rsidR="00EE66A8">
        <w:rPr>
          <w:rFonts w:ascii="Times New Roman" w:hAnsi="Times New Roman" w:cs="Times New Roman"/>
          <w:color w:val="000000" w:themeColor="text1"/>
          <w:sz w:val="24"/>
          <w:szCs w:val="24"/>
        </w:rPr>
        <w:t>202</w:t>
      </w:r>
      <w:r w:rsidR="00004829">
        <w:rPr>
          <w:rFonts w:ascii="Times New Roman" w:hAnsi="Times New Roman" w:cs="Times New Roman"/>
          <w:color w:val="000000" w:themeColor="text1"/>
          <w:sz w:val="24"/>
          <w:szCs w:val="24"/>
        </w:rPr>
        <w:t>1</w:t>
      </w:r>
      <w:r w:rsidR="00002AE9" w:rsidRPr="00957299">
        <w:rPr>
          <w:rFonts w:ascii="Times New Roman" w:hAnsi="Times New Roman" w:cs="Times New Roman"/>
          <w:color w:val="000000" w:themeColor="text1"/>
          <w:sz w:val="24"/>
          <w:szCs w:val="24"/>
        </w:rPr>
        <w:t xml:space="preserve"> yılı</w:t>
      </w:r>
      <w:r w:rsidR="009F76EE" w:rsidRPr="00957299">
        <w:rPr>
          <w:rFonts w:ascii="Times New Roman" w:hAnsi="Times New Roman" w:cs="Times New Roman"/>
          <w:color w:val="000000" w:themeColor="text1"/>
          <w:sz w:val="24"/>
          <w:szCs w:val="24"/>
        </w:rPr>
        <w:t xml:space="preserve">nda ortalama proje </w:t>
      </w:r>
      <w:r w:rsidR="000D5E67" w:rsidRPr="00957299">
        <w:rPr>
          <w:rFonts w:ascii="Times New Roman" w:hAnsi="Times New Roman" w:cs="Times New Roman"/>
          <w:color w:val="000000" w:themeColor="text1"/>
          <w:sz w:val="24"/>
          <w:szCs w:val="24"/>
        </w:rPr>
        <w:t>bedeli</w:t>
      </w:r>
      <w:r w:rsidR="00365D5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üstlenilen 2 büyük proje nedeniyle </w:t>
      </w:r>
      <w:r w:rsidR="00CE5374">
        <w:rPr>
          <w:rFonts w:ascii="Times New Roman" w:hAnsi="Times New Roman" w:cs="Times New Roman"/>
          <w:color w:val="000000" w:themeColor="text1"/>
          <w:sz w:val="24"/>
          <w:szCs w:val="24"/>
        </w:rPr>
        <w:t>68,5</w:t>
      </w:r>
      <w:r w:rsidR="00004829">
        <w:rPr>
          <w:rFonts w:ascii="Times New Roman" w:hAnsi="Times New Roman" w:cs="Times New Roman"/>
          <w:color w:val="000000" w:themeColor="text1"/>
          <w:sz w:val="24"/>
          <w:szCs w:val="24"/>
        </w:rPr>
        <w:t xml:space="preserve"> milyon dolar </w:t>
      </w:r>
      <w:r w:rsidR="004075F8">
        <w:rPr>
          <w:rFonts w:ascii="Times New Roman" w:hAnsi="Times New Roman" w:cs="Times New Roman"/>
          <w:color w:val="000000" w:themeColor="text1"/>
          <w:sz w:val="24"/>
          <w:szCs w:val="24"/>
        </w:rPr>
        <w:t>seviye</w:t>
      </w:r>
      <w:r w:rsidR="00004829">
        <w:rPr>
          <w:rFonts w:ascii="Times New Roman" w:hAnsi="Times New Roman" w:cs="Times New Roman"/>
          <w:color w:val="000000" w:themeColor="text1"/>
          <w:sz w:val="24"/>
          <w:szCs w:val="24"/>
        </w:rPr>
        <w:t xml:space="preserve">sinde </w:t>
      </w:r>
      <w:r w:rsidR="00CC041E">
        <w:rPr>
          <w:rFonts w:ascii="Times New Roman" w:hAnsi="Times New Roman" w:cs="Times New Roman"/>
          <w:color w:val="000000" w:themeColor="text1"/>
          <w:sz w:val="24"/>
          <w:szCs w:val="24"/>
        </w:rPr>
        <w:t xml:space="preserve">gerçekleşmiş iken 2022 yılında yaklaşık </w:t>
      </w:r>
      <w:r w:rsidR="0028563A">
        <w:rPr>
          <w:rFonts w:ascii="Times New Roman" w:hAnsi="Times New Roman" w:cs="Times New Roman"/>
          <w:color w:val="000000" w:themeColor="text1"/>
          <w:sz w:val="24"/>
          <w:szCs w:val="24"/>
        </w:rPr>
        <w:t>39,</w:t>
      </w:r>
      <w:r w:rsidR="00CE5374">
        <w:rPr>
          <w:rFonts w:ascii="Times New Roman" w:hAnsi="Times New Roman" w:cs="Times New Roman"/>
          <w:color w:val="000000" w:themeColor="text1"/>
          <w:sz w:val="24"/>
          <w:szCs w:val="24"/>
        </w:rPr>
        <w:t>2</w:t>
      </w:r>
      <w:r w:rsidR="005762C0">
        <w:rPr>
          <w:rFonts w:ascii="Times New Roman" w:hAnsi="Times New Roman" w:cs="Times New Roman"/>
          <w:color w:val="000000" w:themeColor="text1"/>
          <w:sz w:val="24"/>
          <w:szCs w:val="24"/>
        </w:rPr>
        <w:t xml:space="preserve"> milyon dolar, 2023 yılında da </w:t>
      </w:r>
      <w:r w:rsidR="00CE5374">
        <w:rPr>
          <w:rFonts w:ascii="Times New Roman" w:hAnsi="Times New Roman" w:cs="Times New Roman"/>
          <w:color w:val="000000" w:themeColor="text1"/>
          <w:sz w:val="24"/>
          <w:szCs w:val="24"/>
        </w:rPr>
        <w:t>65</w:t>
      </w:r>
      <w:r w:rsidR="005762C0">
        <w:rPr>
          <w:rFonts w:ascii="Times New Roman" w:hAnsi="Times New Roman" w:cs="Times New Roman"/>
          <w:color w:val="000000" w:themeColor="text1"/>
          <w:sz w:val="24"/>
          <w:szCs w:val="24"/>
        </w:rPr>
        <w:t xml:space="preserve"> milyon dolar </w:t>
      </w:r>
      <w:r w:rsidR="00CC041E">
        <w:rPr>
          <w:rFonts w:ascii="Times New Roman" w:hAnsi="Times New Roman" w:cs="Times New Roman"/>
          <w:color w:val="000000" w:themeColor="text1"/>
          <w:sz w:val="24"/>
          <w:szCs w:val="24"/>
        </w:rPr>
        <w:t xml:space="preserve">olarak kaydedilmiştir. </w:t>
      </w:r>
    </w:p>
    <w:p w:rsidR="00FE5A22" w:rsidRDefault="00FE5A22" w:rsidP="00CC041E">
      <w:pPr>
        <w:spacing w:after="0" w:line="276" w:lineRule="auto"/>
        <w:jc w:val="both"/>
        <w:rPr>
          <w:rFonts w:ascii="Times New Roman" w:hAnsi="Times New Roman" w:cs="Times New Roman"/>
          <w:color w:val="000000" w:themeColor="text1"/>
          <w:sz w:val="24"/>
          <w:szCs w:val="24"/>
        </w:rPr>
      </w:pPr>
    </w:p>
    <w:p w:rsidR="00FD57E7" w:rsidRPr="000A4F37" w:rsidRDefault="00DC0C02" w:rsidP="000A4F37">
      <w:pPr>
        <w:spacing w:after="200" w:line="276" w:lineRule="auto"/>
        <w:rPr>
          <w:rFonts w:ascii="Times New Roman" w:hAnsi="Times New Roman" w:cs="Times New Roman"/>
          <w:b/>
          <w:sz w:val="24"/>
          <w:szCs w:val="24"/>
        </w:rPr>
      </w:pPr>
      <w:r w:rsidRPr="0095473D">
        <w:rPr>
          <w:rFonts w:ascii="Times New Roman" w:hAnsi="Times New Roman" w:cs="Times New Roman"/>
          <w:b/>
          <w:sz w:val="24"/>
          <w:szCs w:val="24"/>
        </w:rPr>
        <w:t>2) BÖLGESEL DAĞILIM</w:t>
      </w:r>
    </w:p>
    <w:tbl>
      <w:tblPr>
        <w:tblStyle w:val="KlavuzTablo1Ak-Vurgu11"/>
        <w:tblpPr w:leftFromText="142" w:rightFromText="142" w:vertAnchor="text" w:horzAnchor="margin" w:tblpXSpec="right" w:tblpY="2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36"/>
        <w:gridCol w:w="901"/>
      </w:tblGrid>
      <w:tr w:rsidR="00AC7D48" w:rsidRPr="00FD57E7" w:rsidTr="000517E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017" w:type="dxa"/>
            <w:gridSpan w:val="3"/>
            <w:tcBorders>
              <w:bottom w:val="none" w:sz="0" w:space="0" w:color="auto"/>
            </w:tcBorders>
            <w:shd w:val="clear" w:color="auto" w:fill="9CC2E5" w:themeFill="accent1" w:themeFillTint="99"/>
            <w:noWrap/>
            <w:vAlign w:val="center"/>
            <w:hideMark/>
          </w:tcPr>
          <w:p w:rsidR="00AC7D48" w:rsidRPr="0072696B" w:rsidRDefault="00AC7D48" w:rsidP="001C637E">
            <w:pPr>
              <w:spacing w:line="276" w:lineRule="auto"/>
              <w:jc w:val="center"/>
              <w:rPr>
                <w:rFonts w:ascii="Times New Roman" w:hAnsi="Times New Roman" w:cs="Times New Roman"/>
              </w:rPr>
            </w:pPr>
            <w:bookmarkStart w:id="9" w:name="OLE_LINK2"/>
            <w:bookmarkStart w:id="10" w:name="OLE_LINK1"/>
            <w:r w:rsidRPr="0072696B">
              <w:rPr>
                <w:rFonts w:ascii="Times New Roman" w:hAnsi="Times New Roman" w:cs="Times New Roman"/>
              </w:rPr>
              <w:t>ÜLKELERE GÖRE DAĞILIM</w:t>
            </w:r>
            <w:r w:rsidR="00564147" w:rsidRPr="0072696B">
              <w:rPr>
                <w:rFonts w:ascii="Times New Roman" w:hAnsi="Times New Roman" w:cs="Times New Roman"/>
              </w:rPr>
              <w:t xml:space="preserve"> (1972-202</w:t>
            </w:r>
            <w:r w:rsidR="00506C31">
              <w:rPr>
                <w:rFonts w:ascii="Times New Roman" w:hAnsi="Times New Roman" w:cs="Times New Roman"/>
              </w:rPr>
              <w:t>4</w:t>
            </w:r>
            <w:r w:rsidRPr="0072696B">
              <w:rPr>
                <w:rFonts w:ascii="Times New Roman" w:hAnsi="Times New Roman" w:cs="Times New Roman"/>
                <w:b w:val="0"/>
                <w:bCs w:val="0"/>
              </w:rPr>
              <w:t>)</w:t>
            </w:r>
          </w:p>
        </w:tc>
      </w:tr>
      <w:tr w:rsidR="00AC7D48" w:rsidRPr="00FD57E7" w:rsidTr="000517E5">
        <w:trPr>
          <w:trHeight w:val="337"/>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1" w:themeFillTint="99"/>
            <w:noWrap/>
            <w:vAlign w:val="center"/>
            <w:hideMark/>
          </w:tcPr>
          <w:p w:rsidR="00AC7D48" w:rsidRPr="0072696B" w:rsidRDefault="00AC7D48" w:rsidP="00AC7D48">
            <w:pPr>
              <w:spacing w:line="276" w:lineRule="auto"/>
              <w:rPr>
                <w:rFonts w:ascii="Times New Roman" w:hAnsi="Times New Roman" w:cs="Times New Roman"/>
              </w:rPr>
            </w:pPr>
            <w:r w:rsidRPr="0072696B">
              <w:rPr>
                <w:rFonts w:ascii="Times New Roman" w:hAnsi="Times New Roman" w:cs="Times New Roman"/>
              </w:rPr>
              <w:t>Ülkeler</w:t>
            </w:r>
          </w:p>
        </w:tc>
        <w:tc>
          <w:tcPr>
            <w:tcW w:w="2136" w:type="dxa"/>
            <w:shd w:val="clear" w:color="auto" w:fill="9CC2E5" w:themeFill="accent1" w:themeFillTint="99"/>
            <w:noWrap/>
            <w:vAlign w:val="center"/>
            <w:hideMark/>
          </w:tcPr>
          <w:p w:rsidR="00AC7D48" w:rsidRPr="0072696B" w:rsidRDefault="00AC7D48" w:rsidP="003F6F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2696B">
              <w:rPr>
                <w:rFonts w:ascii="Times New Roman" w:hAnsi="Times New Roman" w:cs="Times New Roman"/>
                <w:b/>
                <w:bCs/>
              </w:rPr>
              <w:t>Toplam Proje Bedeli ($)</w:t>
            </w:r>
          </w:p>
        </w:tc>
        <w:tc>
          <w:tcPr>
            <w:tcW w:w="901" w:type="dxa"/>
            <w:shd w:val="clear" w:color="auto" w:fill="9CC2E5" w:themeFill="accent1" w:themeFillTint="99"/>
            <w:noWrap/>
            <w:vAlign w:val="center"/>
            <w:hideMark/>
          </w:tcPr>
          <w:p w:rsidR="00AC7D48" w:rsidRPr="0072696B" w:rsidRDefault="00AC7D48" w:rsidP="00365D5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2696B">
              <w:rPr>
                <w:rFonts w:ascii="Times New Roman" w:hAnsi="Times New Roman" w:cs="Times New Roman"/>
                <w:b/>
                <w:bCs/>
              </w:rPr>
              <w:t>Pay (%)</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RUSYA FED.</w:t>
            </w:r>
          </w:p>
        </w:tc>
        <w:tc>
          <w:tcPr>
            <w:tcW w:w="2136" w:type="dxa"/>
            <w:tcBorders>
              <w:top w:val="single" w:sz="4" w:space="0" w:color="333399"/>
              <w:left w:val="single" w:sz="4" w:space="0" w:color="333399"/>
              <w:bottom w:val="single" w:sz="4" w:space="0" w:color="333399"/>
              <w:right w:val="single" w:sz="4" w:space="0" w:color="333399"/>
            </w:tcBorders>
            <w:shd w:val="clear" w:color="auto" w:fill="auto"/>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102.423.058.045</w:t>
            </w:r>
          </w:p>
        </w:tc>
        <w:tc>
          <w:tcPr>
            <w:tcW w:w="901" w:type="dxa"/>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19,6%</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TÜRKMENİSTAN</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53.540.803.175</w:t>
            </w:r>
          </w:p>
        </w:tc>
        <w:tc>
          <w:tcPr>
            <w:tcW w:w="901" w:type="dxa"/>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10,2%</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IRAK</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34.990.056.116</w:t>
            </w:r>
          </w:p>
        </w:tc>
        <w:tc>
          <w:tcPr>
            <w:tcW w:w="901" w:type="dxa"/>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6,7%</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LİBYA</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31.150.513.284</w:t>
            </w:r>
          </w:p>
        </w:tc>
        <w:tc>
          <w:tcPr>
            <w:tcW w:w="901" w:type="dxa"/>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6,0%</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KAZAKİSTAN</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31.054.939.166</w:t>
            </w:r>
          </w:p>
        </w:tc>
        <w:tc>
          <w:tcPr>
            <w:tcW w:w="901" w:type="dxa"/>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5,9%</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S.ARABİSTAN</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28.982.084.136</w:t>
            </w:r>
          </w:p>
        </w:tc>
        <w:tc>
          <w:tcPr>
            <w:tcW w:w="901" w:type="dxa"/>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5,5%</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CEZAYİR</w:t>
            </w:r>
          </w:p>
        </w:tc>
        <w:tc>
          <w:tcPr>
            <w:tcW w:w="2136" w:type="dxa"/>
            <w:tcBorders>
              <w:top w:val="nil"/>
              <w:left w:val="single" w:sz="4" w:space="0" w:color="333399"/>
              <w:bottom w:val="single" w:sz="4" w:space="0" w:color="333399"/>
              <w:right w:val="single" w:sz="4" w:space="0" w:color="333399"/>
            </w:tcBorders>
            <w:shd w:val="clear" w:color="auto" w:fill="auto"/>
            <w:noWrap/>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22.700.386.965</w:t>
            </w:r>
          </w:p>
        </w:tc>
        <w:tc>
          <w:tcPr>
            <w:tcW w:w="901" w:type="dxa"/>
            <w:noWrap/>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4,3%</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KATAR</w:t>
            </w:r>
          </w:p>
        </w:tc>
        <w:tc>
          <w:tcPr>
            <w:tcW w:w="2136" w:type="dxa"/>
            <w:tcBorders>
              <w:top w:val="nil"/>
              <w:left w:val="single" w:sz="4" w:space="0" w:color="333399"/>
              <w:bottom w:val="single" w:sz="4" w:space="0" w:color="333399"/>
              <w:right w:val="single" w:sz="4" w:space="0" w:color="333399"/>
            </w:tcBorders>
            <w:shd w:val="clear" w:color="auto" w:fill="auto"/>
            <w:noWrap/>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20.318.253.880</w:t>
            </w:r>
          </w:p>
        </w:tc>
        <w:tc>
          <w:tcPr>
            <w:tcW w:w="901" w:type="dxa"/>
            <w:noWrap/>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3,9%</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28563A" w:rsidRDefault="001904C5" w:rsidP="001904C5">
            <w:pPr>
              <w:rPr>
                <w:rFonts w:ascii="Times New Roman" w:hAnsi="Times New Roman" w:cs="Times New Roman"/>
                <w:b w:val="0"/>
              </w:rPr>
            </w:pPr>
            <w:r w:rsidRPr="0028563A">
              <w:rPr>
                <w:rFonts w:ascii="Times New Roman" w:hAnsi="Times New Roman" w:cs="Times New Roman"/>
                <w:b w:val="0"/>
              </w:rPr>
              <w:t>AZERBAYCAN</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19.840.950.283</w:t>
            </w:r>
          </w:p>
        </w:tc>
        <w:tc>
          <w:tcPr>
            <w:tcW w:w="901" w:type="dxa"/>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3,8%</w:t>
            </w:r>
          </w:p>
        </w:tc>
      </w:tr>
      <w:tr w:rsidR="001904C5" w:rsidRPr="003F6FF7"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28563A" w:rsidRDefault="001904C5" w:rsidP="001904C5">
            <w:pPr>
              <w:rPr>
                <w:rFonts w:ascii="Times New Roman" w:hAnsi="Times New Roman" w:cs="Times New Roman"/>
                <w:b w:val="0"/>
              </w:rPr>
            </w:pPr>
            <w:bookmarkStart w:id="11" w:name="_Hlk251762476"/>
            <w:r w:rsidRPr="0028563A">
              <w:rPr>
                <w:rFonts w:ascii="Times New Roman" w:hAnsi="Times New Roman" w:cs="Times New Roman"/>
                <w:b w:val="0"/>
              </w:rPr>
              <w:t>BAE</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13.508.661.792</w:t>
            </w:r>
          </w:p>
        </w:tc>
        <w:tc>
          <w:tcPr>
            <w:tcW w:w="901" w:type="dxa"/>
            <w:noWrap/>
            <w:hideMark/>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4C5">
              <w:rPr>
                <w:rFonts w:ascii="Times New Roman" w:hAnsi="Times New Roman" w:cs="Times New Roman"/>
                <w:sz w:val="24"/>
                <w:szCs w:val="24"/>
              </w:rPr>
              <w:t>2,6%</w:t>
            </w:r>
          </w:p>
        </w:tc>
        <w:bookmarkEnd w:id="11"/>
      </w:tr>
      <w:tr w:rsidR="001904C5" w:rsidRPr="004D6D1F" w:rsidTr="00DA6F15">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1904C5" w:rsidRPr="000517E5" w:rsidRDefault="001904C5" w:rsidP="001904C5">
            <w:pPr>
              <w:rPr>
                <w:rFonts w:ascii="Times New Roman" w:hAnsi="Times New Roman" w:cs="Times New Roman"/>
              </w:rPr>
            </w:pPr>
            <w:r w:rsidRPr="000517E5">
              <w:rPr>
                <w:rFonts w:ascii="Times New Roman" w:hAnsi="Times New Roman" w:cs="Times New Roman"/>
              </w:rPr>
              <w:t>Diğer Ülkeler</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1904C5" w:rsidRPr="00DA5312"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5312">
              <w:rPr>
                <w:rFonts w:ascii="Times New Roman" w:hAnsi="Times New Roman" w:cs="Times New Roman"/>
                <w:sz w:val="24"/>
                <w:szCs w:val="24"/>
              </w:rPr>
              <w:t>164.464.488.840</w:t>
            </w:r>
          </w:p>
        </w:tc>
        <w:tc>
          <w:tcPr>
            <w:tcW w:w="901" w:type="dxa"/>
            <w:noWrap/>
            <w:hideMark/>
          </w:tcPr>
          <w:p w:rsidR="001904C5" w:rsidRPr="00DA5312"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5312">
              <w:rPr>
                <w:rFonts w:ascii="Times New Roman" w:hAnsi="Times New Roman" w:cs="Times New Roman"/>
                <w:sz w:val="24"/>
                <w:szCs w:val="24"/>
              </w:rPr>
              <w:t>31,4%</w:t>
            </w:r>
          </w:p>
        </w:tc>
      </w:tr>
      <w:tr w:rsidR="00461CE3" w:rsidRPr="00FD57E7" w:rsidTr="00DA6F15">
        <w:trPr>
          <w:trHeight w:hRule="exact" w:val="310"/>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461CE3" w:rsidRPr="000517E5" w:rsidRDefault="00461CE3" w:rsidP="00461CE3">
            <w:pPr>
              <w:rPr>
                <w:rFonts w:ascii="Times New Roman" w:hAnsi="Times New Roman" w:cs="Times New Roman"/>
              </w:rPr>
            </w:pPr>
            <w:r w:rsidRPr="000517E5">
              <w:rPr>
                <w:rFonts w:ascii="Times New Roman" w:hAnsi="Times New Roman" w:cs="Times New Roman"/>
              </w:rPr>
              <w:t>Toplam</w:t>
            </w:r>
          </w:p>
        </w:tc>
        <w:tc>
          <w:tcPr>
            <w:tcW w:w="2136" w:type="dxa"/>
            <w:tcBorders>
              <w:top w:val="nil"/>
              <w:left w:val="single" w:sz="4" w:space="0" w:color="333399"/>
              <w:bottom w:val="single" w:sz="4" w:space="0" w:color="333399"/>
              <w:right w:val="single" w:sz="4" w:space="0" w:color="333399"/>
            </w:tcBorders>
            <w:shd w:val="clear" w:color="auto" w:fill="auto"/>
            <w:noWrap/>
          </w:tcPr>
          <w:p w:rsidR="001904C5" w:rsidRPr="001904C5" w:rsidRDefault="001904C5" w:rsidP="001904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904C5">
              <w:rPr>
                <w:rFonts w:ascii="Times New Roman" w:hAnsi="Times New Roman" w:cs="Times New Roman"/>
                <w:b/>
                <w:bCs/>
                <w:sz w:val="24"/>
                <w:szCs w:val="24"/>
              </w:rPr>
              <w:t>522.974.195.681</w:t>
            </w:r>
          </w:p>
          <w:p w:rsidR="00461CE3" w:rsidRPr="001904C5" w:rsidRDefault="00461CE3" w:rsidP="00461CE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901" w:type="dxa"/>
            <w:noWrap/>
          </w:tcPr>
          <w:p w:rsidR="00461CE3" w:rsidRPr="001904C5" w:rsidRDefault="00461CE3" w:rsidP="00461CE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904C5">
              <w:rPr>
                <w:rFonts w:ascii="Times New Roman" w:hAnsi="Times New Roman" w:cs="Times New Roman"/>
                <w:b/>
                <w:sz w:val="24"/>
                <w:szCs w:val="24"/>
              </w:rPr>
              <w:t>19,6%</w:t>
            </w:r>
          </w:p>
        </w:tc>
      </w:tr>
    </w:tbl>
    <w:bookmarkEnd w:id="9"/>
    <w:bookmarkEnd w:id="10"/>
    <w:p w:rsidR="00FD57E7" w:rsidRPr="00B06670" w:rsidRDefault="00FD57E7" w:rsidP="00002AE9">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Türk müteahhitleri, hâlihazırda özellikle Bağımsız Devletler Topluluğunda, daha sonra Orta Doğu ve Afrika’da büyük projelere başarıyla imza atmaktadır. </w:t>
      </w:r>
      <w:r w:rsidR="00C37C1B" w:rsidRPr="00FD57E7">
        <w:rPr>
          <w:rFonts w:ascii="Times New Roman" w:hAnsi="Times New Roman" w:cs="Times New Roman"/>
          <w:sz w:val="24"/>
          <w:szCs w:val="24"/>
        </w:rPr>
        <w:t xml:space="preserve">Bugüne </w:t>
      </w:r>
      <w:r w:rsidR="009F76EE">
        <w:rPr>
          <w:rFonts w:ascii="Times New Roman" w:hAnsi="Times New Roman" w:cs="Times New Roman"/>
          <w:sz w:val="24"/>
          <w:szCs w:val="24"/>
        </w:rPr>
        <w:t xml:space="preserve">kadar üstlenilen projelerin </w:t>
      </w:r>
      <w:r w:rsidR="00C37C1B">
        <w:rPr>
          <w:rFonts w:ascii="Times New Roman" w:hAnsi="Times New Roman" w:cs="Times New Roman"/>
          <w:sz w:val="24"/>
          <w:szCs w:val="24"/>
        </w:rPr>
        <w:t>bölgesel dağılımı</w:t>
      </w:r>
      <w:r w:rsidR="001B1F8D">
        <w:rPr>
          <w:rFonts w:ascii="Times New Roman" w:hAnsi="Times New Roman" w:cs="Times New Roman"/>
          <w:sz w:val="24"/>
          <w:szCs w:val="24"/>
        </w:rPr>
        <w:t xml:space="preserve"> yaklaşık</w:t>
      </w:r>
      <w:r w:rsidR="00C37C1B">
        <w:rPr>
          <w:rFonts w:ascii="Times New Roman" w:hAnsi="Times New Roman" w:cs="Times New Roman"/>
          <w:sz w:val="24"/>
          <w:szCs w:val="24"/>
        </w:rPr>
        <w:t xml:space="preserve">; </w:t>
      </w:r>
      <w:r w:rsidR="003D25A7" w:rsidRPr="00B06670">
        <w:rPr>
          <w:rFonts w:ascii="Times New Roman" w:hAnsi="Times New Roman" w:cs="Times New Roman"/>
          <w:sz w:val="24"/>
          <w:szCs w:val="24"/>
        </w:rPr>
        <w:t xml:space="preserve">BDT </w:t>
      </w:r>
      <w:r w:rsidR="00437393" w:rsidRPr="00B06670">
        <w:rPr>
          <w:rFonts w:ascii="Times New Roman" w:hAnsi="Times New Roman" w:cs="Times New Roman"/>
          <w:sz w:val="24"/>
          <w:szCs w:val="24"/>
        </w:rPr>
        <w:t>%</w:t>
      </w:r>
      <w:r w:rsidR="00437393">
        <w:rPr>
          <w:rFonts w:ascii="Times New Roman" w:hAnsi="Times New Roman" w:cs="Times New Roman"/>
          <w:sz w:val="24"/>
          <w:szCs w:val="24"/>
        </w:rPr>
        <w:t>4</w:t>
      </w:r>
      <w:r w:rsidR="003469AB">
        <w:rPr>
          <w:rFonts w:ascii="Times New Roman" w:hAnsi="Times New Roman" w:cs="Times New Roman"/>
          <w:sz w:val="24"/>
          <w:szCs w:val="24"/>
        </w:rPr>
        <w:t>4,</w:t>
      </w:r>
      <w:r w:rsidR="00461CE3">
        <w:rPr>
          <w:rFonts w:ascii="Times New Roman" w:hAnsi="Times New Roman" w:cs="Times New Roman"/>
          <w:sz w:val="24"/>
          <w:szCs w:val="24"/>
        </w:rPr>
        <w:t>2</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A84E83">
        <w:rPr>
          <w:rFonts w:ascii="Times New Roman" w:hAnsi="Times New Roman" w:cs="Times New Roman"/>
          <w:sz w:val="24"/>
          <w:szCs w:val="24"/>
        </w:rPr>
        <w:t>2</w:t>
      </w:r>
      <w:r w:rsidR="00C7692A">
        <w:rPr>
          <w:rFonts w:ascii="Times New Roman" w:hAnsi="Times New Roman" w:cs="Times New Roman"/>
          <w:sz w:val="24"/>
          <w:szCs w:val="24"/>
        </w:rPr>
        <w:t>3</w:t>
      </w:r>
      <w:r w:rsidR="00461CE3">
        <w:rPr>
          <w:rFonts w:ascii="Times New Roman" w:hAnsi="Times New Roman" w:cs="Times New Roman"/>
          <w:sz w:val="24"/>
          <w:szCs w:val="24"/>
        </w:rPr>
        <w:t>1</w:t>
      </w:r>
      <w:r w:rsidR="00C37C1B" w:rsidRPr="00B06670">
        <w:rPr>
          <w:rFonts w:ascii="Times New Roman" w:hAnsi="Times New Roman" w:cs="Times New Roman"/>
          <w:sz w:val="24"/>
          <w:szCs w:val="24"/>
        </w:rPr>
        <w:t xml:space="preserve"> milyar dolar), Ortadoğu %2</w:t>
      </w:r>
      <w:r w:rsidR="00C014E2">
        <w:rPr>
          <w:rFonts w:ascii="Times New Roman" w:hAnsi="Times New Roman" w:cs="Times New Roman"/>
          <w:sz w:val="24"/>
          <w:szCs w:val="24"/>
        </w:rPr>
        <w:t>4,</w:t>
      </w:r>
      <w:r w:rsidR="001D6B5B">
        <w:rPr>
          <w:rFonts w:ascii="Times New Roman" w:hAnsi="Times New Roman" w:cs="Times New Roman"/>
          <w:sz w:val="24"/>
          <w:szCs w:val="24"/>
        </w:rPr>
        <w:t>7</w:t>
      </w:r>
      <w:r w:rsidR="003D25A7" w:rsidRPr="00B06670">
        <w:rPr>
          <w:rFonts w:ascii="Times New Roman" w:hAnsi="Times New Roman" w:cs="Times New Roman"/>
          <w:sz w:val="24"/>
          <w:szCs w:val="24"/>
        </w:rPr>
        <w:t xml:space="preserve"> (</w:t>
      </w:r>
      <w:r w:rsidR="0005199F">
        <w:rPr>
          <w:rFonts w:ascii="Times New Roman" w:hAnsi="Times New Roman" w:cs="Times New Roman"/>
          <w:sz w:val="24"/>
          <w:szCs w:val="24"/>
        </w:rPr>
        <w:t>1</w:t>
      </w:r>
      <w:r w:rsidR="00F81A37">
        <w:rPr>
          <w:rFonts w:ascii="Times New Roman" w:hAnsi="Times New Roman" w:cs="Times New Roman"/>
          <w:sz w:val="24"/>
          <w:szCs w:val="24"/>
        </w:rPr>
        <w:t>2</w:t>
      </w:r>
      <w:r w:rsidR="001D6B5B">
        <w:rPr>
          <w:rFonts w:ascii="Times New Roman" w:hAnsi="Times New Roman" w:cs="Times New Roman"/>
          <w:sz w:val="24"/>
          <w:szCs w:val="24"/>
        </w:rPr>
        <w:t>8,9</w:t>
      </w:r>
      <w:r w:rsidR="00C37C1B" w:rsidRPr="00B06670">
        <w:rPr>
          <w:rFonts w:ascii="Times New Roman" w:hAnsi="Times New Roman" w:cs="Times New Roman"/>
          <w:sz w:val="24"/>
          <w:szCs w:val="24"/>
        </w:rPr>
        <w:t xml:space="preserve"> milyar dolar), Afrika </w:t>
      </w:r>
      <w:r w:rsidR="00437393" w:rsidRPr="00B06670">
        <w:rPr>
          <w:rFonts w:ascii="Times New Roman" w:hAnsi="Times New Roman" w:cs="Times New Roman"/>
          <w:sz w:val="24"/>
          <w:szCs w:val="24"/>
        </w:rPr>
        <w:t>%</w:t>
      </w:r>
      <w:r w:rsidR="00004829">
        <w:rPr>
          <w:rFonts w:ascii="Times New Roman" w:hAnsi="Times New Roman" w:cs="Times New Roman"/>
          <w:sz w:val="24"/>
          <w:szCs w:val="24"/>
        </w:rPr>
        <w:t>1</w:t>
      </w:r>
      <w:r w:rsidR="001D6B5B">
        <w:rPr>
          <w:rFonts w:ascii="Times New Roman" w:hAnsi="Times New Roman" w:cs="Times New Roman"/>
          <w:sz w:val="24"/>
          <w:szCs w:val="24"/>
        </w:rPr>
        <w:t>8,</w:t>
      </w:r>
      <w:r w:rsidR="00465D02">
        <w:rPr>
          <w:rFonts w:ascii="Times New Roman" w:hAnsi="Times New Roman" w:cs="Times New Roman"/>
          <w:sz w:val="24"/>
          <w:szCs w:val="24"/>
        </w:rPr>
        <w:t>3</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3469AB">
        <w:rPr>
          <w:rFonts w:ascii="Times New Roman" w:hAnsi="Times New Roman" w:cs="Times New Roman"/>
          <w:sz w:val="24"/>
          <w:szCs w:val="24"/>
        </w:rPr>
        <w:t>9</w:t>
      </w:r>
      <w:r w:rsidR="00461CE3">
        <w:rPr>
          <w:rFonts w:ascii="Times New Roman" w:hAnsi="Times New Roman" w:cs="Times New Roman"/>
          <w:sz w:val="24"/>
          <w:szCs w:val="24"/>
        </w:rPr>
        <w:t>5,</w:t>
      </w:r>
      <w:r w:rsidR="00465D02">
        <w:rPr>
          <w:rFonts w:ascii="Times New Roman" w:hAnsi="Times New Roman" w:cs="Times New Roman"/>
          <w:sz w:val="24"/>
          <w:szCs w:val="24"/>
        </w:rPr>
        <w:t>8</w:t>
      </w:r>
      <w:r w:rsidR="00C37C1B" w:rsidRPr="00B06670">
        <w:rPr>
          <w:rFonts w:ascii="Times New Roman" w:hAnsi="Times New Roman" w:cs="Times New Roman"/>
          <w:sz w:val="24"/>
          <w:szCs w:val="24"/>
        </w:rPr>
        <w:t xml:space="preserve"> milyar dolar </w:t>
      </w:r>
      <w:r w:rsidR="00365AB0">
        <w:rPr>
          <w:rFonts w:ascii="Times New Roman" w:hAnsi="Times New Roman" w:cs="Times New Roman"/>
          <w:sz w:val="24"/>
          <w:szCs w:val="24"/>
        </w:rPr>
        <w:t>–</w:t>
      </w:r>
      <w:r w:rsidR="00C37C1B" w:rsidRPr="00B06670">
        <w:rPr>
          <w:rFonts w:ascii="Times New Roman" w:hAnsi="Times New Roman" w:cs="Times New Roman"/>
          <w:sz w:val="24"/>
          <w:szCs w:val="24"/>
        </w:rPr>
        <w:t xml:space="preserve"> Sahra</w:t>
      </w:r>
      <w:r w:rsidR="00365AB0">
        <w:rPr>
          <w:rFonts w:ascii="Times New Roman" w:hAnsi="Times New Roman" w:cs="Times New Roman"/>
          <w:sz w:val="24"/>
          <w:szCs w:val="24"/>
        </w:rPr>
        <w:t>-</w:t>
      </w:r>
      <w:r w:rsidR="00C37C1B" w:rsidRPr="00B06670">
        <w:rPr>
          <w:rFonts w:ascii="Times New Roman" w:hAnsi="Times New Roman" w:cs="Times New Roman"/>
          <w:sz w:val="24"/>
          <w:szCs w:val="24"/>
        </w:rPr>
        <w:t>altı Afrika %</w:t>
      </w:r>
      <w:r w:rsidR="000605D4">
        <w:rPr>
          <w:rFonts w:ascii="Times New Roman" w:hAnsi="Times New Roman" w:cs="Times New Roman"/>
          <w:sz w:val="24"/>
          <w:szCs w:val="24"/>
        </w:rPr>
        <w:t>6</w:t>
      </w:r>
      <w:r w:rsidR="00C7692A">
        <w:rPr>
          <w:rFonts w:ascii="Times New Roman" w:hAnsi="Times New Roman" w:cs="Times New Roman"/>
          <w:sz w:val="24"/>
          <w:szCs w:val="24"/>
        </w:rPr>
        <w:t>,</w:t>
      </w:r>
      <w:r w:rsidR="001904C5">
        <w:rPr>
          <w:rFonts w:ascii="Times New Roman" w:hAnsi="Times New Roman" w:cs="Times New Roman"/>
          <w:sz w:val="24"/>
          <w:szCs w:val="24"/>
        </w:rPr>
        <w:t>8</w:t>
      </w:r>
      <w:r w:rsidR="00495742">
        <w:rPr>
          <w:rFonts w:ascii="Times New Roman" w:hAnsi="Times New Roman" w:cs="Times New Roman"/>
          <w:sz w:val="24"/>
          <w:szCs w:val="24"/>
        </w:rPr>
        <w:t>;</w:t>
      </w:r>
      <w:r w:rsidR="001D4CFD">
        <w:rPr>
          <w:rFonts w:ascii="Times New Roman" w:hAnsi="Times New Roman" w:cs="Times New Roman"/>
          <w:sz w:val="24"/>
          <w:szCs w:val="24"/>
        </w:rPr>
        <w:t xml:space="preserve"> </w:t>
      </w:r>
      <w:r w:rsidR="001D4CFD" w:rsidRPr="00B06670">
        <w:rPr>
          <w:rFonts w:ascii="Times New Roman" w:hAnsi="Times New Roman" w:cs="Times New Roman"/>
          <w:sz w:val="24"/>
          <w:szCs w:val="24"/>
        </w:rPr>
        <w:t>Kuzey</w:t>
      </w:r>
      <w:r w:rsidR="00255EA1" w:rsidRPr="00B06670">
        <w:rPr>
          <w:rFonts w:ascii="Times New Roman" w:hAnsi="Times New Roman" w:cs="Times New Roman"/>
          <w:sz w:val="24"/>
          <w:szCs w:val="24"/>
        </w:rPr>
        <w:t xml:space="preserve"> Afrika %1</w:t>
      </w:r>
      <w:r w:rsidR="00495742">
        <w:rPr>
          <w:rFonts w:ascii="Times New Roman" w:hAnsi="Times New Roman" w:cs="Times New Roman"/>
          <w:sz w:val="24"/>
          <w:szCs w:val="24"/>
        </w:rPr>
        <w:t>1</w:t>
      </w:r>
      <w:r w:rsidR="00081E7E">
        <w:rPr>
          <w:rFonts w:ascii="Times New Roman" w:hAnsi="Times New Roman" w:cs="Times New Roman"/>
          <w:sz w:val="24"/>
          <w:szCs w:val="24"/>
        </w:rPr>
        <w:t>,</w:t>
      </w:r>
      <w:r w:rsidR="001D6B5B">
        <w:rPr>
          <w:rFonts w:ascii="Times New Roman" w:hAnsi="Times New Roman" w:cs="Times New Roman"/>
          <w:sz w:val="24"/>
          <w:szCs w:val="24"/>
        </w:rPr>
        <w:t>5</w:t>
      </w:r>
      <w:r w:rsidR="002E204B">
        <w:rPr>
          <w:rFonts w:ascii="Times New Roman" w:hAnsi="Times New Roman" w:cs="Times New Roman"/>
          <w:sz w:val="24"/>
          <w:szCs w:val="24"/>
        </w:rPr>
        <w:t xml:space="preserve">), Avrupa </w:t>
      </w:r>
      <w:r w:rsidR="002E204B" w:rsidRPr="00B06670">
        <w:rPr>
          <w:rFonts w:ascii="Times New Roman" w:hAnsi="Times New Roman" w:cs="Times New Roman"/>
          <w:sz w:val="24"/>
          <w:szCs w:val="24"/>
        </w:rPr>
        <w:t>%</w:t>
      </w:r>
      <w:r w:rsidR="0028563A">
        <w:rPr>
          <w:rFonts w:ascii="Times New Roman" w:hAnsi="Times New Roman" w:cs="Times New Roman"/>
          <w:sz w:val="24"/>
          <w:szCs w:val="24"/>
        </w:rPr>
        <w:t>9,</w:t>
      </w:r>
      <w:r w:rsidR="00461CE3">
        <w:rPr>
          <w:rFonts w:ascii="Times New Roman" w:hAnsi="Times New Roman" w:cs="Times New Roman"/>
          <w:sz w:val="24"/>
          <w:szCs w:val="24"/>
        </w:rPr>
        <w:t>2</w:t>
      </w:r>
      <w:r w:rsidR="003F19E1">
        <w:rPr>
          <w:rFonts w:ascii="Times New Roman" w:hAnsi="Times New Roman" w:cs="Times New Roman"/>
          <w:sz w:val="24"/>
          <w:szCs w:val="24"/>
        </w:rPr>
        <w:t xml:space="preserve"> (</w:t>
      </w:r>
      <w:r w:rsidR="001B1F8D">
        <w:rPr>
          <w:rFonts w:ascii="Times New Roman" w:hAnsi="Times New Roman" w:cs="Times New Roman"/>
          <w:sz w:val="24"/>
          <w:szCs w:val="24"/>
        </w:rPr>
        <w:t>4</w:t>
      </w:r>
      <w:r w:rsidR="00C7692A">
        <w:rPr>
          <w:rFonts w:ascii="Times New Roman" w:hAnsi="Times New Roman" w:cs="Times New Roman"/>
          <w:sz w:val="24"/>
          <w:szCs w:val="24"/>
        </w:rPr>
        <w:t>8,</w:t>
      </w:r>
      <w:r w:rsidR="001D6B5B">
        <w:rPr>
          <w:rFonts w:ascii="Times New Roman" w:hAnsi="Times New Roman" w:cs="Times New Roman"/>
          <w:sz w:val="24"/>
          <w:szCs w:val="24"/>
        </w:rPr>
        <w:t>2</w:t>
      </w:r>
      <w:r w:rsidR="003F19E1">
        <w:rPr>
          <w:rFonts w:ascii="Times New Roman" w:hAnsi="Times New Roman" w:cs="Times New Roman"/>
          <w:sz w:val="24"/>
          <w:szCs w:val="24"/>
        </w:rPr>
        <w:t xml:space="preserve"> milyar dolar)</w:t>
      </w:r>
      <w:r w:rsidR="002E204B">
        <w:rPr>
          <w:rFonts w:ascii="Times New Roman" w:hAnsi="Times New Roman" w:cs="Times New Roman"/>
          <w:sz w:val="24"/>
          <w:szCs w:val="24"/>
        </w:rPr>
        <w:t>,</w:t>
      </w:r>
      <w:r w:rsidR="004E3D92">
        <w:rPr>
          <w:rFonts w:ascii="Times New Roman" w:hAnsi="Times New Roman" w:cs="Times New Roman"/>
          <w:sz w:val="24"/>
          <w:szCs w:val="24"/>
        </w:rPr>
        <w:t xml:space="preserve"> Amerika </w:t>
      </w:r>
      <w:r w:rsidR="00437393">
        <w:rPr>
          <w:rFonts w:ascii="Times New Roman" w:hAnsi="Times New Roman" w:cs="Times New Roman"/>
          <w:sz w:val="24"/>
          <w:szCs w:val="24"/>
        </w:rPr>
        <w:t>%</w:t>
      </w:r>
      <w:r w:rsidR="00D357A0">
        <w:rPr>
          <w:rFonts w:ascii="Times New Roman" w:hAnsi="Times New Roman" w:cs="Times New Roman"/>
          <w:sz w:val="24"/>
          <w:szCs w:val="24"/>
        </w:rPr>
        <w:t>0,9</w:t>
      </w:r>
      <w:r w:rsidR="00192861" w:rsidRPr="00B06670">
        <w:rPr>
          <w:rFonts w:ascii="Times New Roman" w:hAnsi="Times New Roman" w:cs="Times New Roman"/>
          <w:sz w:val="24"/>
          <w:szCs w:val="24"/>
        </w:rPr>
        <w:t xml:space="preserve"> (</w:t>
      </w:r>
      <w:r w:rsidR="0008206F">
        <w:rPr>
          <w:rFonts w:ascii="Times New Roman" w:hAnsi="Times New Roman" w:cs="Times New Roman"/>
          <w:sz w:val="24"/>
          <w:szCs w:val="24"/>
        </w:rPr>
        <w:t>4,</w:t>
      </w:r>
      <w:r w:rsidR="00BD4F8A">
        <w:rPr>
          <w:rFonts w:ascii="Times New Roman" w:hAnsi="Times New Roman" w:cs="Times New Roman"/>
          <w:sz w:val="24"/>
          <w:szCs w:val="24"/>
        </w:rPr>
        <w:t>5</w:t>
      </w:r>
      <w:r w:rsidR="00C37C1B" w:rsidRPr="00B06670">
        <w:rPr>
          <w:rFonts w:ascii="Times New Roman" w:hAnsi="Times New Roman" w:cs="Times New Roman"/>
          <w:sz w:val="24"/>
          <w:szCs w:val="24"/>
        </w:rPr>
        <w:t xml:space="preserve"> milyar dolar), Asya Pasifik Bölgesi </w:t>
      </w:r>
      <w:r w:rsidR="00081E7E">
        <w:rPr>
          <w:rFonts w:ascii="Times New Roman" w:hAnsi="Times New Roman" w:cs="Times New Roman"/>
          <w:sz w:val="24"/>
          <w:szCs w:val="24"/>
        </w:rPr>
        <w:t>%</w:t>
      </w:r>
      <w:r w:rsidR="00691738">
        <w:rPr>
          <w:rFonts w:ascii="Times New Roman" w:hAnsi="Times New Roman" w:cs="Times New Roman"/>
          <w:sz w:val="24"/>
          <w:szCs w:val="24"/>
        </w:rPr>
        <w:t>2,</w:t>
      </w:r>
      <w:r w:rsidR="001D6B5B">
        <w:rPr>
          <w:rFonts w:ascii="Times New Roman" w:hAnsi="Times New Roman" w:cs="Times New Roman"/>
          <w:sz w:val="24"/>
          <w:szCs w:val="24"/>
        </w:rPr>
        <w:t>7</w:t>
      </w:r>
      <w:r w:rsidR="00F907C8">
        <w:rPr>
          <w:rFonts w:ascii="Times New Roman" w:hAnsi="Times New Roman" w:cs="Times New Roman"/>
          <w:sz w:val="24"/>
          <w:szCs w:val="24"/>
        </w:rPr>
        <w:t xml:space="preserve"> </w:t>
      </w:r>
      <w:r w:rsidR="00C37C1B" w:rsidRPr="00B06670">
        <w:rPr>
          <w:rFonts w:ascii="Times New Roman" w:hAnsi="Times New Roman" w:cs="Times New Roman"/>
          <w:sz w:val="24"/>
          <w:szCs w:val="24"/>
        </w:rPr>
        <w:t>(1</w:t>
      </w:r>
      <w:r w:rsidR="00D357A0">
        <w:rPr>
          <w:rFonts w:ascii="Times New Roman" w:hAnsi="Times New Roman" w:cs="Times New Roman"/>
          <w:sz w:val="24"/>
          <w:szCs w:val="24"/>
        </w:rPr>
        <w:t>4</w:t>
      </w:r>
      <w:r w:rsidR="00FD4A82">
        <w:rPr>
          <w:rFonts w:ascii="Times New Roman" w:hAnsi="Times New Roman" w:cs="Times New Roman"/>
          <w:sz w:val="24"/>
          <w:szCs w:val="24"/>
        </w:rPr>
        <w:t>,</w:t>
      </w:r>
      <w:r w:rsidR="005762C0">
        <w:rPr>
          <w:rFonts w:ascii="Times New Roman" w:hAnsi="Times New Roman" w:cs="Times New Roman"/>
          <w:sz w:val="24"/>
          <w:szCs w:val="24"/>
        </w:rPr>
        <w:t>3</w:t>
      </w:r>
      <w:r w:rsidR="00C37C1B" w:rsidRPr="00B06670">
        <w:rPr>
          <w:rFonts w:ascii="Times New Roman" w:hAnsi="Times New Roman" w:cs="Times New Roman"/>
          <w:sz w:val="24"/>
          <w:szCs w:val="24"/>
        </w:rPr>
        <w:t xml:space="preserve"> milyar dolar).</w:t>
      </w:r>
    </w:p>
    <w:p w:rsidR="00B01BED" w:rsidRPr="002530A8" w:rsidRDefault="001C637E" w:rsidP="00B01BED">
      <w:pPr>
        <w:spacing w:after="200" w:line="276" w:lineRule="auto"/>
        <w:ind w:right="5103"/>
        <w:jc w:val="both"/>
        <w:rPr>
          <w:rFonts w:ascii="Times New Roman" w:hAnsi="Times New Roman" w:cs="Times New Roman"/>
          <w:color w:val="000000" w:themeColor="text1"/>
          <w:sz w:val="24"/>
          <w:szCs w:val="24"/>
        </w:rPr>
      </w:pPr>
      <w:r w:rsidRPr="0072696B">
        <w:rPr>
          <w:rFonts w:ascii="Times New Roman" w:hAnsi="Times New Roman" w:cs="Times New Roman"/>
          <w:color w:val="000000" w:themeColor="text1"/>
          <w:sz w:val="24"/>
          <w:szCs w:val="24"/>
        </w:rPr>
        <w:t>202</w:t>
      </w:r>
      <w:r w:rsidR="005762C0" w:rsidRPr="0072696B">
        <w:rPr>
          <w:rFonts w:ascii="Times New Roman" w:hAnsi="Times New Roman" w:cs="Times New Roman"/>
          <w:color w:val="000000" w:themeColor="text1"/>
          <w:sz w:val="24"/>
          <w:szCs w:val="24"/>
        </w:rPr>
        <w:t>3</w:t>
      </w:r>
      <w:r w:rsidR="00B01BED" w:rsidRPr="0072696B">
        <w:rPr>
          <w:rFonts w:ascii="Times New Roman" w:hAnsi="Times New Roman" w:cs="Times New Roman"/>
          <w:color w:val="000000" w:themeColor="text1"/>
          <w:sz w:val="24"/>
          <w:szCs w:val="24"/>
        </w:rPr>
        <w:t xml:space="preserve"> yılında ise projelerin bölgesel dağılım şöyle olmuştur: </w:t>
      </w:r>
      <w:r w:rsidR="00365AB0" w:rsidRPr="0072696B">
        <w:rPr>
          <w:rFonts w:ascii="Times New Roman" w:hAnsi="Times New Roman" w:cs="Times New Roman"/>
          <w:color w:val="000000" w:themeColor="text1"/>
          <w:sz w:val="24"/>
          <w:szCs w:val="24"/>
        </w:rPr>
        <w:t>BDT</w:t>
      </w:r>
      <w:r w:rsidR="002F272A" w:rsidRPr="0072696B">
        <w:rPr>
          <w:rFonts w:ascii="Times New Roman" w:hAnsi="Times New Roman" w:cs="Times New Roman"/>
          <w:color w:val="000000" w:themeColor="text1"/>
          <w:sz w:val="24"/>
          <w:szCs w:val="24"/>
        </w:rPr>
        <w:t xml:space="preserve"> </w:t>
      </w:r>
      <w:r w:rsidR="00437393" w:rsidRPr="0072696B">
        <w:rPr>
          <w:rFonts w:ascii="Times New Roman" w:hAnsi="Times New Roman" w:cs="Times New Roman"/>
          <w:color w:val="000000" w:themeColor="text1"/>
          <w:sz w:val="24"/>
          <w:szCs w:val="24"/>
        </w:rPr>
        <w:t>%</w:t>
      </w:r>
      <w:r w:rsidR="0028563A">
        <w:rPr>
          <w:rFonts w:ascii="Times New Roman" w:hAnsi="Times New Roman" w:cs="Times New Roman"/>
          <w:color w:val="000000" w:themeColor="text1"/>
          <w:sz w:val="24"/>
          <w:szCs w:val="24"/>
        </w:rPr>
        <w:t>3</w:t>
      </w:r>
      <w:r w:rsidR="00050C2F">
        <w:rPr>
          <w:rFonts w:ascii="Times New Roman" w:hAnsi="Times New Roman" w:cs="Times New Roman"/>
          <w:color w:val="000000" w:themeColor="text1"/>
          <w:sz w:val="24"/>
          <w:szCs w:val="24"/>
        </w:rPr>
        <w:t>7,</w:t>
      </w:r>
      <w:r w:rsidR="00B006DF">
        <w:rPr>
          <w:rFonts w:ascii="Times New Roman" w:hAnsi="Times New Roman" w:cs="Times New Roman"/>
          <w:color w:val="000000" w:themeColor="text1"/>
          <w:sz w:val="24"/>
          <w:szCs w:val="24"/>
        </w:rPr>
        <w:t>8</w:t>
      </w:r>
      <w:r w:rsidR="00365AB0"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10,</w:t>
      </w:r>
      <w:r w:rsidR="00B006DF">
        <w:rPr>
          <w:rFonts w:ascii="Times New Roman" w:hAnsi="Times New Roman" w:cs="Times New Roman"/>
          <w:color w:val="000000" w:themeColor="text1"/>
          <w:sz w:val="24"/>
          <w:szCs w:val="24"/>
        </w:rPr>
        <w:t>6</w:t>
      </w:r>
      <w:r w:rsidR="0028563A">
        <w:rPr>
          <w:rFonts w:ascii="Times New Roman" w:hAnsi="Times New Roman" w:cs="Times New Roman"/>
          <w:color w:val="000000" w:themeColor="text1"/>
          <w:sz w:val="24"/>
          <w:szCs w:val="24"/>
        </w:rPr>
        <w:t xml:space="preserve"> </w:t>
      </w:r>
      <w:r w:rsidR="0011475C" w:rsidRPr="0072696B">
        <w:rPr>
          <w:rFonts w:ascii="Times New Roman" w:hAnsi="Times New Roman" w:cs="Times New Roman"/>
          <w:color w:val="000000" w:themeColor="text1"/>
          <w:sz w:val="24"/>
          <w:szCs w:val="24"/>
        </w:rPr>
        <w:t xml:space="preserve">milyar dolar), </w:t>
      </w:r>
      <w:r w:rsidR="0072696B" w:rsidRPr="0072696B">
        <w:rPr>
          <w:rFonts w:ascii="Times New Roman" w:hAnsi="Times New Roman" w:cs="Times New Roman"/>
          <w:color w:val="000000" w:themeColor="text1"/>
          <w:sz w:val="24"/>
          <w:szCs w:val="24"/>
        </w:rPr>
        <w:t>Avrupa %2</w:t>
      </w:r>
      <w:r w:rsidR="00050C2F">
        <w:rPr>
          <w:rFonts w:ascii="Times New Roman" w:hAnsi="Times New Roman" w:cs="Times New Roman"/>
          <w:color w:val="000000" w:themeColor="text1"/>
          <w:sz w:val="24"/>
          <w:szCs w:val="24"/>
        </w:rPr>
        <w:t>6,6</w:t>
      </w:r>
      <w:r w:rsidR="0072696B"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7,4</w:t>
      </w:r>
      <w:r w:rsidR="0072696B" w:rsidRPr="0072696B">
        <w:rPr>
          <w:rFonts w:ascii="Times New Roman" w:hAnsi="Times New Roman" w:cs="Times New Roman"/>
          <w:color w:val="000000" w:themeColor="text1"/>
          <w:sz w:val="24"/>
          <w:szCs w:val="24"/>
        </w:rPr>
        <w:t xml:space="preserve"> milyar dolar), </w:t>
      </w:r>
      <w:r w:rsidR="00365AB0" w:rsidRPr="0072696B">
        <w:rPr>
          <w:rFonts w:ascii="Times New Roman" w:hAnsi="Times New Roman" w:cs="Times New Roman"/>
          <w:color w:val="000000" w:themeColor="text1"/>
          <w:sz w:val="24"/>
          <w:szCs w:val="24"/>
        </w:rPr>
        <w:t>Ortadoğu</w:t>
      </w:r>
      <w:r w:rsidR="0011475C"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19,</w:t>
      </w:r>
      <w:r w:rsidR="00B006DF">
        <w:rPr>
          <w:rFonts w:ascii="Times New Roman" w:hAnsi="Times New Roman" w:cs="Times New Roman"/>
          <w:color w:val="000000" w:themeColor="text1"/>
          <w:sz w:val="24"/>
          <w:szCs w:val="24"/>
        </w:rPr>
        <w:t>6</w:t>
      </w:r>
      <w:r w:rsidR="00B01BED" w:rsidRPr="0072696B">
        <w:rPr>
          <w:rFonts w:ascii="Times New Roman" w:hAnsi="Times New Roman" w:cs="Times New Roman"/>
          <w:color w:val="000000" w:themeColor="text1"/>
          <w:sz w:val="24"/>
          <w:szCs w:val="24"/>
        </w:rPr>
        <w:t xml:space="preserve"> (</w:t>
      </w:r>
      <w:r w:rsidR="0072696B" w:rsidRPr="0072696B">
        <w:rPr>
          <w:rFonts w:ascii="Times New Roman" w:hAnsi="Times New Roman" w:cs="Times New Roman"/>
          <w:color w:val="000000" w:themeColor="text1"/>
          <w:sz w:val="24"/>
          <w:szCs w:val="24"/>
        </w:rPr>
        <w:t>5</w:t>
      </w:r>
      <w:r w:rsidR="000D6E14" w:rsidRPr="0072696B">
        <w:rPr>
          <w:rFonts w:ascii="Times New Roman" w:hAnsi="Times New Roman" w:cs="Times New Roman"/>
          <w:color w:val="000000" w:themeColor="text1"/>
          <w:sz w:val="24"/>
          <w:szCs w:val="24"/>
        </w:rPr>
        <w:t>,</w:t>
      </w:r>
      <w:r w:rsidR="00233163">
        <w:rPr>
          <w:rFonts w:ascii="Times New Roman" w:hAnsi="Times New Roman" w:cs="Times New Roman"/>
          <w:color w:val="000000" w:themeColor="text1"/>
          <w:sz w:val="24"/>
          <w:szCs w:val="24"/>
        </w:rPr>
        <w:t>5</w:t>
      </w:r>
      <w:r w:rsidR="00B01BED" w:rsidRPr="0072696B">
        <w:rPr>
          <w:rFonts w:ascii="Times New Roman" w:hAnsi="Times New Roman" w:cs="Times New Roman"/>
          <w:color w:val="000000" w:themeColor="text1"/>
          <w:sz w:val="24"/>
          <w:szCs w:val="24"/>
        </w:rPr>
        <w:t xml:space="preserve"> milyar dolar),</w:t>
      </w:r>
      <w:r w:rsidR="00441969" w:rsidRPr="0072696B">
        <w:rPr>
          <w:rFonts w:ascii="Times New Roman" w:hAnsi="Times New Roman" w:cs="Times New Roman"/>
          <w:color w:val="000000" w:themeColor="text1"/>
          <w:sz w:val="24"/>
          <w:szCs w:val="24"/>
        </w:rPr>
        <w:t xml:space="preserve"> </w:t>
      </w:r>
      <w:r w:rsidR="00B01BED" w:rsidRPr="0072696B">
        <w:rPr>
          <w:rFonts w:ascii="Times New Roman" w:hAnsi="Times New Roman" w:cs="Times New Roman"/>
          <w:color w:val="000000" w:themeColor="text1"/>
          <w:sz w:val="24"/>
          <w:szCs w:val="24"/>
        </w:rPr>
        <w:t xml:space="preserve">Afrika </w:t>
      </w:r>
      <w:r w:rsidR="00437393" w:rsidRPr="0072696B">
        <w:rPr>
          <w:rFonts w:ascii="Times New Roman" w:hAnsi="Times New Roman" w:cs="Times New Roman"/>
          <w:color w:val="000000" w:themeColor="text1"/>
          <w:sz w:val="24"/>
          <w:szCs w:val="24"/>
        </w:rPr>
        <w:t>%</w:t>
      </w:r>
      <w:r w:rsidR="005F5619" w:rsidRPr="0072696B">
        <w:rPr>
          <w:rFonts w:ascii="Times New Roman" w:hAnsi="Times New Roman" w:cs="Times New Roman"/>
          <w:color w:val="000000" w:themeColor="text1"/>
          <w:sz w:val="24"/>
          <w:szCs w:val="24"/>
        </w:rPr>
        <w:t>1</w:t>
      </w:r>
      <w:r w:rsidR="00050C2F">
        <w:rPr>
          <w:rFonts w:ascii="Times New Roman" w:hAnsi="Times New Roman" w:cs="Times New Roman"/>
          <w:color w:val="000000" w:themeColor="text1"/>
          <w:sz w:val="24"/>
          <w:szCs w:val="24"/>
        </w:rPr>
        <w:t>2,</w:t>
      </w:r>
      <w:r w:rsidR="00B006DF">
        <w:rPr>
          <w:rFonts w:ascii="Times New Roman" w:hAnsi="Times New Roman" w:cs="Times New Roman"/>
          <w:color w:val="000000" w:themeColor="text1"/>
          <w:sz w:val="24"/>
          <w:szCs w:val="24"/>
        </w:rPr>
        <w:t>5</w:t>
      </w:r>
      <w:r w:rsidR="00B01BED" w:rsidRPr="0072696B">
        <w:rPr>
          <w:rFonts w:ascii="Times New Roman" w:hAnsi="Times New Roman" w:cs="Times New Roman"/>
          <w:color w:val="000000" w:themeColor="text1"/>
          <w:sz w:val="24"/>
          <w:szCs w:val="24"/>
        </w:rPr>
        <w:t xml:space="preserve"> (</w:t>
      </w:r>
      <w:r w:rsidR="005F5619" w:rsidRPr="0072696B">
        <w:rPr>
          <w:rFonts w:ascii="Times New Roman" w:hAnsi="Times New Roman" w:cs="Times New Roman"/>
          <w:color w:val="000000" w:themeColor="text1"/>
          <w:sz w:val="24"/>
          <w:szCs w:val="24"/>
        </w:rPr>
        <w:t>3</w:t>
      </w:r>
      <w:r w:rsidR="00F907C8" w:rsidRPr="0072696B">
        <w:rPr>
          <w:rFonts w:ascii="Times New Roman" w:hAnsi="Times New Roman" w:cs="Times New Roman"/>
          <w:color w:val="000000" w:themeColor="text1"/>
          <w:sz w:val="24"/>
          <w:szCs w:val="24"/>
        </w:rPr>
        <w:t>,</w:t>
      </w:r>
      <w:r w:rsidR="00050C2F">
        <w:rPr>
          <w:rFonts w:ascii="Times New Roman" w:hAnsi="Times New Roman" w:cs="Times New Roman"/>
          <w:color w:val="000000" w:themeColor="text1"/>
          <w:sz w:val="24"/>
          <w:szCs w:val="24"/>
        </w:rPr>
        <w:t>5</w:t>
      </w:r>
      <w:r w:rsidR="00F907C8" w:rsidRPr="0072696B">
        <w:rPr>
          <w:rFonts w:ascii="Times New Roman" w:hAnsi="Times New Roman" w:cs="Times New Roman"/>
          <w:color w:val="000000" w:themeColor="text1"/>
          <w:sz w:val="24"/>
          <w:szCs w:val="24"/>
        </w:rPr>
        <w:t xml:space="preserve"> </w:t>
      </w:r>
      <w:r w:rsidR="00225412" w:rsidRPr="0072696B">
        <w:rPr>
          <w:rFonts w:ascii="Times New Roman" w:hAnsi="Times New Roman" w:cs="Times New Roman"/>
          <w:color w:val="000000" w:themeColor="text1"/>
          <w:sz w:val="24"/>
          <w:szCs w:val="24"/>
        </w:rPr>
        <w:t>milyar dolar)</w:t>
      </w:r>
      <w:r w:rsidR="00B01BED" w:rsidRPr="0072696B">
        <w:rPr>
          <w:rFonts w:ascii="Times New Roman" w:hAnsi="Times New Roman" w:cs="Times New Roman"/>
          <w:color w:val="000000" w:themeColor="text1"/>
          <w:sz w:val="24"/>
          <w:szCs w:val="24"/>
        </w:rPr>
        <w:t xml:space="preserve"> </w:t>
      </w:r>
      <w:r w:rsidR="00757E52" w:rsidRPr="0072696B">
        <w:rPr>
          <w:rFonts w:ascii="Times New Roman" w:hAnsi="Times New Roman" w:cs="Times New Roman"/>
          <w:color w:val="000000" w:themeColor="text1"/>
          <w:sz w:val="24"/>
          <w:szCs w:val="24"/>
        </w:rPr>
        <w:t xml:space="preserve">ve </w:t>
      </w:r>
      <w:r w:rsidR="004D6D1F" w:rsidRPr="0072696B">
        <w:rPr>
          <w:rFonts w:ascii="Times New Roman" w:hAnsi="Times New Roman" w:cs="Times New Roman"/>
          <w:color w:val="000000" w:themeColor="text1"/>
          <w:sz w:val="24"/>
          <w:szCs w:val="24"/>
        </w:rPr>
        <w:t>Asya %</w:t>
      </w:r>
      <w:r w:rsidR="0028563A">
        <w:rPr>
          <w:rFonts w:ascii="Times New Roman" w:hAnsi="Times New Roman" w:cs="Times New Roman"/>
          <w:color w:val="000000" w:themeColor="text1"/>
          <w:sz w:val="24"/>
          <w:szCs w:val="24"/>
        </w:rPr>
        <w:t>3,</w:t>
      </w:r>
      <w:r w:rsidR="00050C2F">
        <w:rPr>
          <w:rFonts w:ascii="Times New Roman" w:hAnsi="Times New Roman" w:cs="Times New Roman"/>
          <w:color w:val="000000" w:themeColor="text1"/>
          <w:sz w:val="24"/>
          <w:szCs w:val="24"/>
        </w:rPr>
        <w:t>2</w:t>
      </w:r>
      <w:r w:rsidR="00B01BED" w:rsidRPr="0072696B">
        <w:rPr>
          <w:rFonts w:ascii="Times New Roman" w:hAnsi="Times New Roman" w:cs="Times New Roman"/>
          <w:color w:val="000000" w:themeColor="text1"/>
          <w:sz w:val="24"/>
          <w:szCs w:val="24"/>
        </w:rPr>
        <w:t xml:space="preserve"> (</w:t>
      </w:r>
      <w:r w:rsidR="0072696B" w:rsidRPr="0072696B">
        <w:rPr>
          <w:rFonts w:ascii="Times New Roman" w:hAnsi="Times New Roman" w:cs="Times New Roman"/>
          <w:color w:val="000000" w:themeColor="text1"/>
          <w:sz w:val="24"/>
          <w:szCs w:val="24"/>
        </w:rPr>
        <w:t>90</w:t>
      </w:r>
      <w:r w:rsidR="00050C2F">
        <w:rPr>
          <w:rFonts w:ascii="Times New Roman" w:hAnsi="Times New Roman" w:cs="Times New Roman"/>
          <w:color w:val="000000" w:themeColor="text1"/>
          <w:sz w:val="24"/>
          <w:szCs w:val="24"/>
        </w:rPr>
        <w:t>0</w:t>
      </w:r>
      <w:r w:rsidR="0072696B" w:rsidRPr="0072696B">
        <w:rPr>
          <w:rFonts w:ascii="Times New Roman" w:hAnsi="Times New Roman" w:cs="Times New Roman"/>
          <w:color w:val="000000" w:themeColor="text1"/>
          <w:sz w:val="24"/>
          <w:szCs w:val="24"/>
        </w:rPr>
        <w:t xml:space="preserve"> </w:t>
      </w:r>
      <w:r w:rsidR="00B01BED" w:rsidRPr="0072696B">
        <w:rPr>
          <w:rFonts w:ascii="Times New Roman" w:hAnsi="Times New Roman" w:cs="Times New Roman"/>
          <w:color w:val="000000" w:themeColor="text1"/>
          <w:sz w:val="24"/>
          <w:szCs w:val="24"/>
        </w:rPr>
        <w:t>mily</w:t>
      </w:r>
      <w:r w:rsidR="00757E52" w:rsidRPr="0072696B">
        <w:rPr>
          <w:rFonts w:ascii="Times New Roman" w:hAnsi="Times New Roman" w:cs="Times New Roman"/>
          <w:color w:val="000000" w:themeColor="text1"/>
          <w:sz w:val="24"/>
          <w:szCs w:val="24"/>
        </w:rPr>
        <w:t>on dolar)</w:t>
      </w:r>
      <w:r w:rsidR="0072696B" w:rsidRPr="0072696B">
        <w:rPr>
          <w:rFonts w:ascii="Times New Roman" w:hAnsi="Times New Roman" w:cs="Times New Roman"/>
          <w:color w:val="000000" w:themeColor="text1"/>
          <w:sz w:val="24"/>
          <w:szCs w:val="24"/>
        </w:rPr>
        <w:t>, Amerika %0,</w:t>
      </w:r>
      <w:r w:rsidR="00050C2F">
        <w:rPr>
          <w:rFonts w:ascii="Times New Roman" w:hAnsi="Times New Roman" w:cs="Times New Roman"/>
          <w:color w:val="000000" w:themeColor="text1"/>
          <w:sz w:val="24"/>
          <w:szCs w:val="24"/>
        </w:rPr>
        <w:t>4</w:t>
      </w:r>
      <w:r w:rsidR="0072696B"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12</w:t>
      </w:r>
      <w:r w:rsidR="00050C2F">
        <w:rPr>
          <w:rFonts w:ascii="Times New Roman" w:hAnsi="Times New Roman" w:cs="Times New Roman"/>
          <w:color w:val="000000" w:themeColor="text1"/>
          <w:sz w:val="24"/>
          <w:szCs w:val="24"/>
        </w:rPr>
        <w:t>3,5</w:t>
      </w:r>
      <w:r w:rsidR="0072696B" w:rsidRPr="0072696B">
        <w:rPr>
          <w:rFonts w:ascii="Times New Roman" w:hAnsi="Times New Roman" w:cs="Times New Roman"/>
          <w:color w:val="000000" w:themeColor="text1"/>
          <w:sz w:val="24"/>
          <w:szCs w:val="24"/>
        </w:rPr>
        <w:t xml:space="preserve"> milyon dolar).</w:t>
      </w:r>
    </w:p>
    <w:tbl>
      <w:tblPr>
        <w:tblStyle w:val="KlavuzTablo1Ak-Vurgu11"/>
        <w:tblpPr w:leftFromText="142" w:rightFromText="142" w:vertAnchor="text" w:horzAnchor="margin" w:tblpXSpec="right" w:tblpY="29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036"/>
        <w:gridCol w:w="902"/>
      </w:tblGrid>
      <w:tr w:rsidR="00F93A4B" w:rsidRPr="00FD57E7" w:rsidTr="00F93A4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75" w:type="dxa"/>
            <w:gridSpan w:val="3"/>
            <w:tcBorders>
              <w:bottom w:val="none" w:sz="0" w:space="0" w:color="auto"/>
            </w:tcBorders>
            <w:shd w:val="clear" w:color="auto" w:fill="9CC2E5" w:themeFill="accent1" w:themeFillTint="99"/>
            <w:noWrap/>
            <w:vAlign w:val="center"/>
            <w:hideMark/>
          </w:tcPr>
          <w:p w:rsidR="00F93A4B" w:rsidRPr="0072696B" w:rsidRDefault="00F93A4B" w:rsidP="005762C0">
            <w:pPr>
              <w:spacing w:line="276" w:lineRule="auto"/>
              <w:jc w:val="center"/>
              <w:rPr>
                <w:rFonts w:ascii="Times New Roman" w:hAnsi="Times New Roman" w:cs="Times New Roman"/>
              </w:rPr>
            </w:pPr>
            <w:r w:rsidRPr="0072696B">
              <w:rPr>
                <w:rFonts w:ascii="Times New Roman" w:hAnsi="Times New Roman" w:cs="Times New Roman"/>
              </w:rPr>
              <w:t>ÜLKELERE GÖRE DAĞILIM (202</w:t>
            </w:r>
            <w:r w:rsidR="005762C0" w:rsidRPr="0072696B">
              <w:rPr>
                <w:rFonts w:ascii="Times New Roman" w:hAnsi="Times New Roman" w:cs="Times New Roman"/>
              </w:rPr>
              <w:t>3</w:t>
            </w:r>
            <w:r w:rsidRPr="0072696B">
              <w:rPr>
                <w:rFonts w:ascii="Times New Roman" w:hAnsi="Times New Roman" w:cs="Times New Roman"/>
                <w:b w:val="0"/>
                <w:bCs w:val="0"/>
              </w:rPr>
              <w:t>)</w:t>
            </w:r>
          </w:p>
        </w:tc>
      </w:tr>
      <w:tr w:rsidR="00F93A4B" w:rsidRPr="00FD57E7" w:rsidTr="00F93A4B">
        <w:trPr>
          <w:trHeight w:val="293"/>
        </w:trPr>
        <w:tc>
          <w:tcPr>
            <w:cnfStyle w:val="001000000000" w:firstRow="0" w:lastRow="0" w:firstColumn="1" w:lastColumn="0" w:oddVBand="0" w:evenVBand="0" w:oddHBand="0" w:evenHBand="0" w:firstRowFirstColumn="0" w:firstRowLastColumn="0" w:lastRowFirstColumn="0" w:lastRowLastColumn="0"/>
            <w:tcW w:w="2037" w:type="dxa"/>
            <w:shd w:val="clear" w:color="auto" w:fill="9CC2E5" w:themeFill="accent1" w:themeFillTint="99"/>
            <w:noWrap/>
            <w:vAlign w:val="center"/>
            <w:hideMark/>
          </w:tcPr>
          <w:p w:rsidR="00F93A4B" w:rsidRPr="0072696B" w:rsidRDefault="00F93A4B" w:rsidP="00F93A4B">
            <w:pPr>
              <w:spacing w:line="276" w:lineRule="auto"/>
              <w:jc w:val="center"/>
              <w:rPr>
                <w:rFonts w:ascii="Times New Roman" w:hAnsi="Times New Roman" w:cs="Times New Roman"/>
              </w:rPr>
            </w:pPr>
            <w:r w:rsidRPr="0072696B">
              <w:rPr>
                <w:rFonts w:ascii="Times New Roman" w:hAnsi="Times New Roman" w:cs="Times New Roman"/>
              </w:rPr>
              <w:t>Ülkeler</w:t>
            </w:r>
          </w:p>
        </w:tc>
        <w:tc>
          <w:tcPr>
            <w:tcW w:w="2036" w:type="dxa"/>
            <w:shd w:val="clear" w:color="auto" w:fill="9CC2E5" w:themeFill="accent1" w:themeFillTint="99"/>
            <w:noWrap/>
            <w:vAlign w:val="center"/>
            <w:hideMark/>
          </w:tcPr>
          <w:p w:rsidR="00F93A4B" w:rsidRPr="0072696B" w:rsidRDefault="00F93A4B" w:rsidP="00F93A4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2696B">
              <w:rPr>
                <w:rFonts w:ascii="Times New Roman" w:hAnsi="Times New Roman" w:cs="Times New Roman"/>
                <w:b/>
                <w:bCs/>
              </w:rPr>
              <w:t>Toplam Proje Bedeli ($)</w:t>
            </w:r>
          </w:p>
        </w:tc>
        <w:tc>
          <w:tcPr>
            <w:tcW w:w="902" w:type="dxa"/>
            <w:shd w:val="clear" w:color="auto" w:fill="9CC2E5" w:themeFill="accent1" w:themeFillTint="99"/>
            <w:noWrap/>
            <w:vAlign w:val="center"/>
            <w:hideMark/>
          </w:tcPr>
          <w:p w:rsidR="00F93A4B" w:rsidRPr="0072696B" w:rsidRDefault="00F93A4B" w:rsidP="00F93A4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2696B">
              <w:rPr>
                <w:rFonts w:ascii="Times New Roman" w:hAnsi="Times New Roman" w:cs="Times New Roman"/>
                <w:b/>
                <w:bCs/>
              </w:rPr>
              <w:t>Pay (%)</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RUSYA FED.</w:t>
            </w:r>
          </w:p>
        </w:tc>
        <w:tc>
          <w:tcPr>
            <w:tcW w:w="2036" w:type="dxa"/>
            <w:tcBorders>
              <w:top w:val="single" w:sz="4" w:space="0" w:color="333399"/>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4.611.777.575</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16,3%</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ROMANYA</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3.638.752.676</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12,9%</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TÜRKMENİSTAN</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3.432.998.915</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12,2%</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S.ARABİSTAN</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2.942.962.056</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10,4%</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IRAK</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1.488.380.632</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5,3%</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LİBYA</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1.297.811.916</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4,6%</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İSPANYA</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1.085.584.389</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3,8%</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AZERBAYCAN</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1.039.452.397</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3,7%</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VİETNAM</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789.326.529</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2,8%</w:t>
            </w:r>
          </w:p>
        </w:tc>
      </w:tr>
      <w:tr w:rsidR="00C50AC8" w:rsidRPr="00DA1C2C"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9D3A39" w:rsidRDefault="00C50AC8" w:rsidP="00C50AC8">
            <w:pPr>
              <w:rPr>
                <w:rFonts w:ascii="Times New Roman" w:hAnsi="Times New Roman" w:cs="Times New Roman"/>
                <w:b w:val="0"/>
              </w:rPr>
            </w:pPr>
            <w:r w:rsidRPr="009D3A39">
              <w:rPr>
                <w:rFonts w:ascii="Times New Roman" w:hAnsi="Times New Roman" w:cs="Times New Roman"/>
                <w:b w:val="0"/>
              </w:rPr>
              <w:t>KUVEYT</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754.000.000</w:t>
            </w:r>
          </w:p>
        </w:tc>
        <w:tc>
          <w:tcPr>
            <w:tcW w:w="902" w:type="dxa"/>
            <w:noWrap/>
            <w:hideMark/>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06DF">
              <w:rPr>
                <w:rFonts w:ascii="Times New Roman" w:hAnsi="Times New Roman" w:cs="Times New Roman"/>
              </w:rPr>
              <w:t>2,7%</w:t>
            </w:r>
          </w:p>
        </w:tc>
      </w:tr>
      <w:tr w:rsidR="00C50AC8" w:rsidRPr="00365D57" w:rsidTr="00DA6F15">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72696B" w:rsidRDefault="00C50AC8" w:rsidP="00C50AC8">
            <w:pPr>
              <w:rPr>
                <w:rFonts w:ascii="Times New Roman" w:hAnsi="Times New Roman" w:cs="Times New Roman"/>
                <w:bCs w:val="0"/>
              </w:rPr>
            </w:pPr>
            <w:r w:rsidRPr="0072696B">
              <w:rPr>
                <w:rFonts w:ascii="Times New Roman" w:hAnsi="Times New Roman" w:cs="Times New Roman"/>
                <w:bCs w:val="0"/>
              </w:rPr>
              <w:t>Diğer Ülkeler</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C50AC8" w:rsidRPr="00C50AC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0AC8">
              <w:rPr>
                <w:rFonts w:ascii="Times New Roman" w:hAnsi="Times New Roman" w:cs="Times New Roman"/>
                <w:sz w:val="24"/>
                <w:szCs w:val="24"/>
              </w:rPr>
              <w:t>7.174.715.885</w:t>
            </w:r>
          </w:p>
        </w:tc>
        <w:tc>
          <w:tcPr>
            <w:tcW w:w="902" w:type="dxa"/>
            <w:noWrap/>
            <w:hideMark/>
          </w:tcPr>
          <w:p w:rsidR="00C50AC8" w:rsidRPr="00AB4A58"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4A58">
              <w:rPr>
                <w:rFonts w:ascii="Times New Roman" w:hAnsi="Times New Roman" w:cs="Times New Roman"/>
              </w:rPr>
              <w:t>25,4%</w:t>
            </w:r>
          </w:p>
        </w:tc>
      </w:tr>
      <w:tr w:rsidR="00C50AC8" w:rsidRPr="00FD57E7" w:rsidTr="00DA6F15">
        <w:trPr>
          <w:trHeight w:hRule="exact" w:val="270"/>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C50AC8" w:rsidRPr="0072696B" w:rsidRDefault="00C50AC8" w:rsidP="00C50AC8">
            <w:pPr>
              <w:rPr>
                <w:rFonts w:ascii="Times New Roman" w:hAnsi="Times New Roman" w:cs="Times New Roman"/>
              </w:rPr>
            </w:pPr>
            <w:r w:rsidRPr="0072696B">
              <w:rPr>
                <w:rFonts w:ascii="Times New Roman" w:hAnsi="Times New Roman" w:cs="Times New Roman"/>
              </w:rPr>
              <w:t>Toplam</w:t>
            </w:r>
          </w:p>
        </w:tc>
        <w:tc>
          <w:tcPr>
            <w:tcW w:w="2036" w:type="dxa"/>
            <w:tcBorders>
              <w:top w:val="nil"/>
              <w:left w:val="single" w:sz="4" w:space="0" w:color="333399"/>
              <w:bottom w:val="single" w:sz="4" w:space="0" w:color="333399"/>
              <w:right w:val="single" w:sz="4" w:space="0" w:color="333399"/>
            </w:tcBorders>
            <w:shd w:val="clear" w:color="auto" w:fill="auto"/>
            <w:noWrap/>
          </w:tcPr>
          <w:p w:rsidR="00C50AC8" w:rsidRPr="00DA5312"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A5312">
              <w:rPr>
                <w:rFonts w:ascii="Times New Roman" w:hAnsi="Times New Roman" w:cs="Times New Roman"/>
                <w:b/>
                <w:sz w:val="24"/>
                <w:szCs w:val="24"/>
              </w:rPr>
              <w:t>28.255.762.971</w:t>
            </w:r>
          </w:p>
        </w:tc>
        <w:tc>
          <w:tcPr>
            <w:tcW w:w="902" w:type="dxa"/>
            <w:noWrap/>
          </w:tcPr>
          <w:p w:rsidR="00C50AC8" w:rsidRPr="00B006DF" w:rsidRDefault="00C50AC8" w:rsidP="00C50AC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006DF">
              <w:rPr>
                <w:rFonts w:ascii="Times New Roman" w:hAnsi="Times New Roman" w:cs="Times New Roman"/>
                <w:b/>
              </w:rPr>
              <w:t>16,3%</w:t>
            </w:r>
          </w:p>
        </w:tc>
      </w:tr>
    </w:tbl>
    <w:p w:rsidR="00B85CAD" w:rsidRPr="00B95739" w:rsidRDefault="0089003D" w:rsidP="00002AE9">
      <w:pPr>
        <w:spacing w:after="200" w:line="276" w:lineRule="auto"/>
        <w:ind w:right="5103"/>
        <w:jc w:val="both"/>
        <w:rPr>
          <w:rFonts w:ascii="Times New Roman" w:hAnsi="Times New Roman" w:cs="Times New Roman"/>
          <w:color w:val="000000" w:themeColor="text1"/>
          <w:sz w:val="24"/>
          <w:szCs w:val="24"/>
        </w:rPr>
      </w:pPr>
      <w:r w:rsidRPr="00B95739">
        <w:rPr>
          <w:rFonts w:ascii="Times New Roman" w:hAnsi="Times New Roman" w:cs="Times New Roman"/>
          <w:color w:val="000000" w:themeColor="text1"/>
          <w:sz w:val="24"/>
          <w:szCs w:val="24"/>
        </w:rPr>
        <w:t>1972 yılından günümüze kadar müteahhitlik firmalarımızca yurt dışında üstlenilen projelerin ülkelere göre dağılımında,</w:t>
      </w:r>
      <w:r w:rsidR="00E27AB1">
        <w:rPr>
          <w:rFonts w:ascii="Times New Roman" w:hAnsi="Times New Roman" w:cs="Times New Roman"/>
          <w:color w:val="000000" w:themeColor="text1"/>
          <w:sz w:val="24"/>
          <w:szCs w:val="24"/>
        </w:rPr>
        <w:t xml:space="preserve"> Rusya Federasyonu %</w:t>
      </w:r>
      <w:r w:rsidR="00B006DF">
        <w:rPr>
          <w:rFonts w:ascii="Times New Roman" w:hAnsi="Times New Roman" w:cs="Times New Roman"/>
          <w:color w:val="000000" w:themeColor="text1"/>
          <w:sz w:val="24"/>
          <w:szCs w:val="24"/>
        </w:rPr>
        <w:t>19,</w:t>
      </w:r>
      <w:r w:rsidR="00461CE3">
        <w:rPr>
          <w:rFonts w:ascii="Times New Roman" w:hAnsi="Times New Roman" w:cs="Times New Roman"/>
          <w:color w:val="000000" w:themeColor="text1"/>
          <w:sz w:val="24"/>
          <w:szCs w:val="24"/>
        </w:rPr>
        <w:t>6</w:t>
      </w:r>
      <w:r w:rsidR="0028563A">
        <w:rPr>
          <w:rFonts w:ascii="Times New Roman" w:hAnsi="Times New Roman" w:cs="Times New Roman"/>
          <w:color w:val="000000" w:themeColor="text1"/>
          <w:sz w:val="24"/>
          <w:szCs w:val="24"/>
        </w:rPr>
        <w:t>’l</w:t>
      </w:r>
      <w:r w:rsidR="00461CE3">
        <w:rPr>
          <w:rFonts w:ascii="Times New Roman" w:hAnsi="Times New Roman" w:cs="Times New Roman"/>
          <w:color w:val="000000" w:themeColor="text1"/>
          <w:sz w:val="24"/>
          <w:szCs w:val="24"/>
        </w:rPr>
        <w:t>ı</w:t>
      </w:r>
      <w:r w:rsidR="0028563A">
        <w:rPr>
          <w:rFonts w:ascii="Times New Roman" w:hAnsi="Times New Roman" w:cs="Times New Roman"/>
          <w:color w:val="000000" w:themeColor="text1"/>
          <w:sz w:val="24"/>
          <w:szCs w:val="24"/>
        </w:rPr>
        <w:t>k</w:t>
      </w:r>
      <w:r w:rsidRPr="00B95739">
        <w:rPr>
          <w:rFonts w:ascii="Times New Roman" w:hAnsi="Times New Roman" w:cs="Times New Roman"/>
          <w:color w:val="000000" w:themeColor="text1"/>
          <w:sz w:val="24"/>
          <w:szCs w:val="24"/>
        </w:rPr>
        <w:t xml:space="preserve"> oranı ile lider konum</w:t>
      </w:r>
      <w:r w:rsidR="006D3B5F" w:rsidRPr="00B95739">
        <w:rPr>
          <w:rFonts w:ascii="Times New Roman" w:hAnsi="Times New Roman" w:cs="Times New Roman"/>
          <w:color w:val="000000" w:themeColor="text1"/>
          <w:sz w:val="24"/>
          <w:szCs w:val="24"/>
        </w:rPr>
        <w:t xml:space="preserve">dadır. Rusya’yı Türkmenistan </w:t>
      </w:r>
      <w:r w:rsidR="00B85CAD" w:rsidRPr="00B95739">
        <w:rPr>
          <w:rFonts w:ascii="Times New Roman" w:hAnsi="Times New Roman" w:cs="Times New Roman"/>
          <w:color w:val="000000" w:themeColor="text1"/>
          <w:sz w:val="24"/>
          <w:szCs w:val="24"/>
        </w:rPr>
        <w:t>takip ederken, ilk 10’da yer alan ülkelerin 4’ünün BDT ülkeleri, diğer 6 ülkenin ise Ortadoğu ve Kuzey Afrika ülkeleri olduğu görülmektedir.</w:t>
      </w:r>
    </w:p>
    <w:p w:rsidR="00AC7D48" w:rsidRDefault="00AC7D48" w:rsidP="00002AE9">
      <w:pPr>
        <w:spacing w:after="200" w:line="276" w:lineRule="auto"/>
        <w:ind w:right="5103"/>
        <w:jc w:val="both"/>
        <w:rPr>
          <w:rFonts w:ascii="Times New Roman" w:hAnsi="Times New Roman" w:cs="Times New Roman"/>
          <w:sz w:val="24"/>
          <w:szCs w:val="24"/>
        </w:rPr>
      </w:pPr>
      <w:r>
        <w:rPr>
          <w:rFonts w:ascii="Times New Roman" w:hAnsi="Times New Roman" w:cs="Times New Roman"/>
          <w:sz w:val="24"/>
          <w:szCs w:val="24"/>
        </w:rPr>
        <w:t>Bu</w:t>
      </w:r>
      <w:r w:rsidRPr="0089003D">
        <w:rPr>
          <w:rFonts w:ascii="Times New Roman" w:hAnsi="Times New Roman" w:cs="Times New Roman"/>
          <w:sz w:val="24"/>
          <w:szCs w:val="24"/>
        </w:rPr>
        <w:t xml:space="preserve"> veriler Türk </w:t>
      </w:r>
      <w:r w:rsidR="002D4FD2">
        <w:rPr>
          <w:rFonts w:ascii="Times New Roman" w:hAnsi="Times New Roman" w:cs="Times New Roman"/>
          <w:sz w:val="24"/>
          <w:szCs w:val="24"/>
        </w:rPr>
        <w:t>m</w:t>
      </w:r>
      <w:r w:rsidRPr="0089003D">
        <w:rPr>
          <w:rFonts w:ascii="Times New Roman" w:hAnsi="Times New Roman" w:cs="Times New Roman"/>
          <w:sz w:val="24"/>
          <w:szCs w:val="24"/>
        </w:rPr>
        <w:t>üteahhitlerinin iş yaptığı komşu ve çevre ülkelerde büyük bir itibarının olduğunu göstermektedir.</w:t>
      </w:r>
    </w:p>
    <w:p w:rsidR="00F55BB4" w:rsidRDefault="00F55BB4" w:rsidP="00F55BB4">
      <w:pPr>
        <w:spacing w:after="200" w:line="276" w:lineRule="auto"/>
        <w:ind w:right="5103"/>
        <w:jc w:val="both"/>
        <w:rPr>
          <w:rFonts w:ascii="Times New Roman" w:hAnsi="Times New Roman" w:cs="Times New Roman"/>
          <w:sz w:val="24"/>
          <w:szCs w:val="24"/>
        </w:rPr>
      </w:pPr>
      <w:r w:rsidRPr="00F55BB4">
        <w:rPr>
          <w:rFonts w:ascii="Times New Roman" w:hAnsi="Times New Roman" w:cs="Times New Roman"/>
          <w:sz w:val="24"/>
          <w:szCs w:val="24"/>
        </w:rPr>
        <w:t>20</w:t>
      </w:r>
      <w:r w:rsidR="00453968">
        <w:rPr>
          <w:rFonts w:ascii="Times New Roman" w:hAnsi="Times New Roman" w:cs="Times New Roman"/>
          <w:sz w:val="24"/>
          <w:szCs w:val="24"/>
        </w:rPr>
        <w:t>2</w:t>
      </w:r>
      <w:r w:rsidR="005762C0">
        <w:rPr>
          <w:rFonts w:ascii="Times New Roman" w:hAnsi="Times New Roman" w:cs="Times New Roman"/>
          <w:sz w:val="24"/>
          <w:szCs w:val="24"/>
        </w:rPr>
        <w:t>3</w:t>
      </w:r>
      <w:r w:rsidRPr="00F55BB4">
        <w:rPr>
          <w:rFonts w:ascii="Times New Roman" w:hAnsi="Times New Roman" w:cs="Times New Roman"/>
          <w:sz w:val="24"/>
          <w:szCs w:val="24"/>
        </w:rPr>
        <w:t xml:space="preserve"> yılında Türk müteahhitlik firmalarınca yurt dışında üstlenilen projelerin ülkelere g</w:t>
      </w:r>
      <w:r>
        <w:rPr>
          <w:rFonts w:ascii="Times New Roman" w:hAnsi="Times New Roman" w:cs="Times New Roman"/>
          <w:sz w:val="24"/>
          <w:szCs w:val="24"/>
        </w:rPr>
        <w:t>öre dağılımında ise</w:t>
      </w:r>
      <w:r w:rsidR="00816359">
        <w:rPr>
          <w:rFonts w:ascii="Times New Roman" w:hAnsi="Times New Roman" w:cs="Times New Roman"/>
          <w:sz w:val="24"/>
          <w:szCs w:val="24"/>
        </w:rPr>
        <w:t xml:space="preserve"> en önemli yurt</w:t>
      </w:r>
      <w:r w:rsidR="006F0CB6">
        <w:rPr>
          <w:rFonts w:ascii="Times New Roman" w:hAnsi="Times New Roman" w:cs="Times New Roman"/>
          <w:sz w:val="24"/>
          <w:szCs w:val="24"/>
        </w:rPr>
        <w:t xml:space="preserve"> </w:t>
      </w:r>
      <w:r w:rsidR="00816359">
        <w:rPr>
          <w:rFonts w:ascii="Times New Roman" w:hAnsi="Times New Roman" w:cs="Times New Roman"/>
          <w:sz w:val="24"/>
          <w:szCs w:val="24"/>
        </w:rPr>
        <w:t xml:space="preserve">dışı pazarımız olan </w:t>
      </w:r>
      <w:r w:rsidR="009D3A39">
        <w:rPr>
          <w:rFonts w:ascii="Times New Roman" w:hAnsi="Times New Roman" w:cs="Times New Roman"/>
          <w:sz w:val="24"/>
          <w:szCs w:val="24"/>
        </w:rPr>
        <w:t xml:space="preserve">Rusya Federasyonu yerini korumakta, bu ülkeyi Romanya, </w:t>
      </w:r>
      <w:r w:rsidR="005762C0">
        <w:rPr>
          <w:rFonts w:ascii="Times New Roman" w:hAnsi="Times New Roman" w:cs="Times New Roman"/>
          <w:sz w:val="24"/>
          <w:szCs w:val="24"/>
        </w:rPr>
        <w:t>Türkmenistan ve S.</w:t>
      </w:r>
      <w:r w:rsidR="00D50EF8">
        <w:rPr>
          <w:rFonts w:ascii="Times New Roman" w:hAnsi="Times New Roman" w:cs="Times New Roman"/>
          <w:sz w:val="24"/>
          <w:szCs w:val="24"/>
        </w:rPr>
        <w:t xml:space="preserve"> </w:t>
      </w:r>
      <w:r w:rsidR="005762C0">
        <w:rPr>
          <w:rFonts w:ascii="Times New Roman" w:hAnsi="Times New Roman" w:cs="Times New Roman"/>
          <w:sz w:val="24"/>
          <w:szCs w:val="24"/>
        </w:rPr>
        <w:t xml:space="preserve">Arabistan </w:t>
      </w:r>
      <w:r w:rsidR="009D3A39">
        <w:rPr>
          <w:rFonts w:ascii="Times New Roman" w:hAnsi="Times New Roman" w:cs="Times New Roman"/>
          <w:sz w:val="24"/>
          <w:szCs w:val="24"/>
        </w:rPr>
        <w:t>izlemektedir</w:t>
      </w:r>
      <w:r w:rsidR="00816359">
        <w:rPr>
          <w:rFonts w:ascii="Times New Roman" w:hAnsi="Times New Roman" w:cs="Times New Roman"/>
          <w:sz w:val="24"/>
          <w:szCs w:val="24"/>
        </w:rPr>
        <w:t>.</w:t>
      </w:r>
      <w:r w:rsidRPr="00F55BB4">
        <w:rPr>
          <w:rFonts w:ascii="Times New Roman" w:hAnsi="Times New Roman" w:cs="Times New Roman"/>
          <w:sz w:val="24"/>
          <w:szCs w:val="24"/>
        </w:rPr>
        <w:t xml:space="preserve"> </w:t>
      </w:r>
    </w:p>
    <w:p w:rsidR="00AC5ADF" w:rsidRDefault="00AC5ADF" w:rsidP="00F55BB4">
      <w:pPr>
        <w:spacing w:after="200" w:line="276" w:lineRule="auto"/>
        <w:ind w:right="5103"/>
        <w:jc w:val="both"/>
        <w:rPr>
          <w:rFonts w:ascii="Times New Roman" w:hAnsi="Times New Roman" w:cs="Times New Roman"/>
          <w:sz w:val="24"/>
          <w:szCs w:val="24"/>
        </w:rPr>
      </w:pPr>
    </w:p>
    <w:p w:rsidR="00AC5ADF" w:rsidRDefault="00AC5ADF" w:rsidP="00F55BB4">
      <w:pPr>
        <w:spacing w:after="200" w:line="276" w:lineRule="auto"/>
        <w:ind w:right="5103"/>
        <w:jc w:val="both"/>
        <w:rPr>
          <w:rFonts w:ascii="Times New Roman" w:hAnsi="Times New Roman" w:cs="Times New Roman"/>
          <w:sz w:val="24"/>
          <w:szCs w:val="24"/>
        </w:rPr>
      </w:pPr>
    </w:p>
    <w:p w:rsidR="00FD57E7" w:rsidRPr="00FD57E7" w:rsidRDefault="00605A4F" w:rsidP="00605A4F">
      <w:pPr>
        <w:spacing w:after="200" w:line="276" w:lineRule="auto"/>
        <w:rPr>
          <w:rFonts w:ascii="Times New Roman" w:hAnsi="Times New Roman" w:cs="Times New Roman"/>
          <w:b/>
          <w:sz w:val="24"/>
          <w:szCs w:val="24"/>
        </w:rPr>
      </w:pPr>
      <w:r w:rsidRPr="0005287E">
        <w:rPr>
          <w:rFonts w:ascii="Times New Roman" w:hAnsi="Times New Roman" w:cs="Times New Roman"/>
          <w:b/>
          <w:sz w:val="24"/>
          <w:szCs w:val="24"/>
        </w:rPr>
        <w:t>3) SEKTÖREL DAĞILIM</w:t>
      </w:r>
    </w:p>
    <w:tbl>
      <w:tblPr>
        <w:tblStyle w:val="KlavuzTablo1Ak-Vurgu11"/>
        <w:tblpPr w:leftFromText="142" w:rightFromText="142"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716"/>
        <w:gridCol w:w="900"/>
      </w:tblGrid>
      <w:tr w:rsidR="00340A9E" w:rsidRPr="00FD57E7" w:rsidTr="00F9776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220" w:type="dxa"/>
            <w:gridSpan w:val="3"/>
            <w:tcBorders>
              <w:bottom w:val="none" w:sz="0" w:space="0" w:color="auto"/>
            </w:tcBorders>
            <w:shd w:val="clear" w:color="auto" w:fill="9CC2E5" w:themeFill="accent1" w:themeFillTint="99"/>
            <w:noWrap/>
            <w:vAlign w:val="center"/>
            <w:hideMark/>
          </w:tcPr>
          <w:p w:rsidR="00340A9E" w:rsidRPr="00C76432" w:rsidRDefault="00340A9E" w:rsidP="00C76432">
            <w:pPr>
              <w:rPr>
                <w:rFonts w:ascii="Times New Roman" w:hAnsi="Times New Roman" w:cs="Times New Roman"/>
                <w:bCs w:val="0"/>
                <w:sz w:val="24"/>
                <w:szCs w:val="24"/>
              </w:rPr>
            </w:pPr>
            <w:r w:rsidRPr="00C76432">
              <w:rPr>
                <w:rFonts w:ascii="Times New Roman" w:hAnsi="Times New Roman" w:cs="Times New Roman"/>
                <w:bCs w:val="0"/>
                <w:sz w:val="24"/>
                <w:szCs w:val="24"/>
              </w:rPr>
              <w:t>SEKTÖREL DAĞILIM (1972-</w:t>
            </w:r>
            <w:r w:rsidR="00D63007" w:rsidRPr="00C76432">
              <w:rPr>
                <w:rFonts w:ascii="Times New Roman" w:hAnsi="Times New Roman" w:cs="Times New Roman"/>
                <w:bCs w:val="0"/>
                <w:sz w:val="24"/>
                <w:szCs w:val="24"/>
              </w:rPr>
              <w:t>20</w:t>
            </w:r>
            <w:r w:rsidR="00453968" w:rsidRPr="00C76432">
              <w:rPr>
                <w:rFonts w:ascii="Times New Roman" w:hAnsi="Times New Roman" w:cs="Times New Roman"/>
                <w:bCs w:val="0"/>
                <w:sz w:val="24"/>
                <w:szCs w:val="24"/>
              </w:rPr>
              <w:t>2</w:t>
            </w:r>
            <w:r w:rsidR="0029286E">
              <w:rPr>
                <w:rFonts w:ascii="Times New Roman" w:hAnsi="Times New Roman" w:cs="Times New Roman"/>
                <w:bCs w:val="0"/>
                <w:sz w:val="24"/>
                <w:szCs w:val="24"/>
              </w:rPr>
              <w:t>4</w:t>
            </w:r>
            <w:r w:rsidRPr="00C76432">
              <w:rPr>
                <w:rFonts w:ascii="Times New Roman" w:hAnsi="Times New Roman" w:cs="Times New Roman"/>
                <w:bCs w:val="0"/>
                <w:sz w:val="24"/>
                <w:szCs w:val="24"/>
              </w:rPr>
              <w:t>)</w:t>
            </w:r>
          </w:p>
        </w:tc>
      </w:tr>
      <w:tr w:rsidR="00340A9E" w:rsidRPr="00FD57E7" w:rsidTr="00F97769">
        <w:trPr>
          <w:trHeight w:val="297"/>
        </w:trPr>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auto"/>
            </w:tcBorders>
            <w:shd w:val="clear" w:color="auto" w:fill="9CC2E5" w:themeFill="accent1" w:themeFillTint="99"/>
            <w:noWrap/>
            <w:vAlign w:val="center"/>
            <w:hideMark/>
          </w:tcPr>
          <w:p w:rsidR="00340A9E" w:rsidRPr="00C76432" w:rsidRDefault="00340A9E" w:rsidP="00C76432">
            <w:pPr>
              <w:rPr>
                <w:rFonts w:ascii="Times New Roman" w:hAnsi="Times New Roman" w:cs="Times New Roman"/>
                <w:bCs w:val="0"/>
                <w:sz w:val="24"/>
                <w:szCs w:val="24"/>
              </w:rPr>
            </w:pPr>
            <w:r w:rsidRPr="00C76432">
              <w:rPr>
                <w:rFonts w:ascii="Times New Roman" w:hAnsi="Times New Roman" w:cs="Times New Roman"/>
                <w:bCs w:val="0"/>
                <w:sz w:val="24"/>
                <w:szCs w:val="24"/>
              </w:rPr>
              <w:t>Ülkeler</w:t>
            </w:r>
          </w:p>
        </w:tc>
        <w:tc>
          <w:tcPr>
            <w:tcW w:w="1716" w:type="dxa"/>
            <w:tcBorders>
              <w:bottom w:val="single" w:sz="4" w:space="0" w:color="auto"/>
            </w:tcBorders>
            <w:shd w:val="clear" w:color="auto" w:fill="9CC2E5" w:themeFill="accent1" w:themeFillTint="99"/>
            <w:noWrap/>
            <w:vAlign w:val="center"/>
            <w:hideMark/>
          </w:tcPr>
          <w:p w:rsidR="00340A9E" w:rsidRPr="00C76432" w:rsidRDefault="00340A9E" w:rsidP="00E03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6432">
              <w:rPr>
                <w:rFonts w:ascii="Times New Roman" w:hAnsi="Times New Roman" w:cs="Times New Roman"/>
                <w:b/>
                <w:sz w:val="24"/>
                <w:szCs w:val="24"/>
              </w:rPr>
              <w:t>Toplam Proje Bedeli ($)</w:t>
            </w:r>
          </w:p>
        </w:tc>
        <w:tc>
          <w:tcPr>
            <w:tcW w:w="900" w:type="dxa"/>
            <w:tcBorders>
              <w:bottom w:val="single" w:sz="4" w:space="0" w:color="auto"/>
            </w:tcBorders>
            <w:shd w:val="clear" w:color="auto" w:fill="9CC2E5" w:themeFill="accent1" w:themeFillTint="99"/>
            <w:noWrap/>
            <w:vAlign w:val="center"/>
            <w:hideMark/>
          </w:tcPr>
          <w:p w:rsidR="00340A9E" w:rsidRPr="00C76432" w:rsidRDefault="00340A9E" w:rsidP="00E03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6432">
              <w:rPr>
                <w:rFonts w:ascii="Times New Roman" w:hAnsi="Times New Roman" w:cs="Times New Roman"/>
                <w:b/>
                <w:sz w:val="24"/>
                <w:szCs w:val="24"/>
              </w:rPr>
              <w:t>Pay (%)</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tcPr>
          <w:p w:rsidR="00AB4A58" w:rsidRPr="0028563A" w:rsidRDefault="00AB4A58" w:rsidP="00AB4A58">
            <w:pPr>
              <w:rPr>
                <w:rFonts w:ascii="Times New Roman" w:hAnsi="Times New Roman" w:cs="Times New Roman"/>
                <w:bCs w:val="0"/>
                <w:sz w:val="24"/>
                <w:szCs w:val="24"/>
              </w:rPr>
            </w:pPr>
            <w:r w:rsidRPr="007A21F4">
              <w:rPr>
                <w:rFonts w:ascii="Times New Roman" w:hAnsi="Times New Roman" w:cs="Times New Roman"/>
                <w:bCs w:val="0"/>
                <w:sz w:val="24"/>
                <w:szCs w:val="24"/>
              </w:rPr>
              <w:t>Karayolu/Tünel/Köprü</w:t>
            </w:r>
          </w:p>
        </w:tc>
        <w:tc>
          <w:tcPr>
            <w:tcW w:w="1716" w:type="dxa"/>
            <w:tcBorders>
              <w:top w:val="single" w:sz="4" w:space="0" w:color="333399"/>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72.626.318.093</w:t>
            </w:r>
          </w:p>
        </w:tc>
        <w:tc>
          <w:tcPr>
            <w:tcW w:w="900" w:type="dxa"/>
            <w:tcBorders>
              <w:top w:val="single" w:sz="4" w:space="0" w:color="333399"/>
              <w:left w:val="nil"/>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13,9%</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AB4A58" w:rsidRPr="00FF41F5" w:rsidRDefault="00AB4A58" w:rsidP="00AB4A58">
            <w:pPr>
              <w:rPr>
                <w:rFonts w:ascii="Times New Roman" w:hAnsi="Times New Roman" w:cs="Times New Roman"/>
                <w:bCs w:val="0"/>
                <w:sz w:val="24"/>
                <w:szCs w:val="24"/>
              </w:rPr>
            </w:pPr>
            <w:r w:rsidRPr="00FF41F5">
              <w:rPr>
                <w:rFonts w:ascii="Times New Roman" w:hAnsi="Times New Roman" w:cs="Times New Roman"/>
                <w:bCs w:val="0"/>
                <w:sz w:val="24"/>
                <w:szCs w:val="24"/>
              </w:rPr>
              <w:t xml:space="preserve">Konut </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71.435.324.456</w:t>
            </w:r>
          </w:p>
        </w:tc>
        <w:tc>
          <w:tcPr>
            <w:tcW w:w="900" w:type="dxa"/>
            <w:tcBorders>
              <w:top w:val="nil"/>
              <w:left w:val="nil"/>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13,7%</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AB4A58" w:rsidRPr="0028563A" w:rsidRDefault="00AB4A58" w:rsidP="00AB4A58">
            <w:pPr>
              <w:rPr>
                <w:rFonts w:ascii="Times New Roman" w:hAnsi="Times New Roman" w:cs="Times New Roman"/>
                <w:bCs w:val="0"/>
                <w:sz w:val="24"/>
                <w:szCs w:val="24"/>
              </w:rPr>
            </w:pPr>
            <w:r w:rsidRPr="0028563A">
              <w:rPr>
                <w:rFonts w:ascii="Times New Roman" w:hAnsi="Times New Roman" w:cs="Times New Roman"/>
                <w:bCs w:val="0"/>
                <w:sz w:val="24"/>
                <w:szCs w:val="24"/>
              </w:rPr>
              <w:t>Enerji Santrali</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44.201.325.168</w:t>
            </w:r>
          </w:p>
        </w:tc>
        <w:tc>
          <w:tcPr>
            <w:tcW w:w="900" w:type="dxa"/>
            <w:tcBorders>
              <w:top w:val="nil"/>
              <w:left w:val="nil"/>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8,5%</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AB4A58" w:rsidRPr="0028563A" w:rsidRDefault="00AB4A58" w:rsidP="00AB4A58">
            <w:pPr>
              <w:rPr>
                <w:rFonts w:ascii="Times New Roman" w:hAnsi="Times New Roman" w:cs="Times New Roman"/>
                <w:bCs w:val="0"/>
                <w:sz w:val="24"/>
                <w:szCs w:val="24"/>
              </w:rPr>
            </w:pPr>
            <w:r w:rsidRPr="0028563A">
              <w:rPr>
                <w:rFonts w:ascii="Times New Roman" w:hAnsi="Times New Roman" w:cs="Times New Roman"/>
                <w:bCs w:val="0"/>
                <w:sz w:val="24"/>
                <w:szCs w:val="24"/>
              </w:rPr>
              <w:t>Ticaret Merkezi</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36.494.108.474</w:t>
            </w:r>
          </w:p>
        </w:tc>
        <w:tc>
          <w:tcPr>
            <w:tcW w:w="900" w:type="dxa"/>
            <w:tcBorders>
              <w:top w:val="nil"/>
              <w:left w:val="nil"/>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7,0%</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auto"/>
            </w:tcBorders>
            <w:noWrap/>
            <w:vAlign w:val="center"/>
          </w:tcPr>
          <w:p w:rsidR="00AB4A58" w:rsidRPr="0028563A" w:rsidRDefault="00AB4A58" w:rsidP="00AB4A58">
            <w:pPr>
              <w:rPr>
                <w:rFonts w:ascii="Times New Roman" w:hAnsi="Times New Roman" w:cs="Times New Roman"/>
                <w:bCs w:val="0"/>
                <w:sz w:val="24"/>
                <w:szCs w:val="24"/>
              </w:rPr>
            </w:pPr>
            <w:r w:rsidRPr="0028563A">
              <w:rPr>
                <w:rFonts w:ascii="Times New Roman" w:hAnsi="Times New Roman" w:cs="Times New Roman"/>
                <w:bCs w:val="0"/>
                <w:sz w:val="24"/>
                <w:szCs w:val="24"/>
              </w:rPr>
              <w:t>Havalimanı</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34.509.795.572</w:t>
            </w:r>
          </w:p>
        </w:tc>
        <w:tc>
          <w:tcPr>
            <w:tcW w:w="900" w:type="dxa"/>
            <w:tcBorders>
              <w:top w:val="nil"/>
              <w:left w:val="nil"/>
              <w:bottom w:val="single" w:sz="4" w:space="0" w:color="333399"/>
              <w:right w:val="single" w:sz="4" w:space="0" w:color="333399"/>
            </w:tcBorders>
            <w:shd w:val="clear" w:color="auto" w:fill="auto"/>
            <w:noWrap/>
            <w:hideMark/>
          </w:tcPr>
          <w:p w:rsidR="00AB4A58" w:rsidRPr="00AB4A58" w:rsidRDefault="00AB4A58" w:rsidP="00AB4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6,6%</w:t>
            </w:r>
          </w:p>
        </w:tc>
      </w:tr>
      <w:tr w:rsidR="00416FC9" w:rsidRPr="00FD57E7" w:rsidTr="00F97769">
        <w:trPr>
          <w:trHeight w:hRule="exact" w:val="292"/>
        </w:trPr>
        <w:tc>
          <w:tcPr>
            <w:cnfStyle w:val="001000000000" w:firstRow="0" w:lastRow="0" w:firstColumn="1" w:lastColumn="0" w:oddVBand="0" w:evenVBand="0" w:oddHBand="0" w:evenHBand="0" w:firstRowFirstColumn="0" w:firstRowLastColumn="0" w:lastRowFirstColumn="0" w:lastRowLastColumn="0"/>
            <w:tcW w:w="5220" w:type="dxa"/>
            <w:gridSpan w:val="3"/>
            <w:tcBorders>
              <w:top w:val="single" w:sz="4" w:space="0" w:color="auto"/>
              <w:left w:val="nil"/>
              <w:bottom w:val="nil"/>
              <w:right w:val="nil"/>
            </w:tcBorders>
            <w:noWrap/>
            <w:vAlign w:val="center"/>
          </w:tcPr>
          <w:p w:rsidR="00416FC9" w:rsidRPr="00E0342E" w:rsidRDefault="00416FC9" w:rsidP="00F33953">
            <w:pPr>
              <w:rPr>
                <w:rFonts w:ascii="Times New Roman" w:hAnsi="Times New Roman" w:cs="Times New Roman"/>
                <w:sz w:val="16"/>
                <w:szCs w:val="16"/>
              </w:rPr>
            </w:pPr>
          </w:p>
        </w:tc>
      </w:tr>
    </w:tbl>
    <w:p w:rsidR="00340A9E" w:rsidRPr="00AE4E1E" w:rsidRDefault="00605A4F" w:rsidP="00002AE9">
      <w:pPr>
        <w:tabs>
          <w:tab w:val="left" w:pos="3969"/>
        </w:tabs>
        <w:spacing w:after="200" w:line="276" w:lineRule="auto"/>
        <w:ind w:right="5103"/>
        <w:jc w:val="both"/>
        <w:rPr>
          <w:rFonts w:ascii="Times New Roman" w:hAnsi="Times New Roman" w:cs="Times New Roman"/>
          <w:sz w:val="24"/>
          <w:szCs w:val="24"/>
        </w:rPr>
      </w:pPr>
      <w:r w:rsidRPr="00AE4E1E">
        <w:rPr>
          <w:rFonts w:ascii="Times New Roman" w:hAnsi="Times New Roman" w:cs="Times New Roman"/>
          <w:sz w:val="24"/>
          <w:szCs w:val="24"/>
        </w:rPr>
        <w:t>1972 yılından günümüze en çok proje üstlenilen sektörlerin dağılımında ilk 5 sıraya</w:t>
      </w:r>
      <w:r w:rsidR="008D55C9">
        <w:rPr>
          <w:rFonts w:ascii="Times New Roman" w:hAnsi="Times New Roman" w:cs="Times New Roman"/>
          <w:sz w:val="24"/>
          <w:szCs w:val="24"/>
        </w:rPr>
        <w:t xml:space="preserve"> </w:t>
      </w:r>
      <w:r w:rsidRPr="00AE4E1E">
        <w:rPr>
          <w:rFonts w:ascii="Times New Roman" w:hAnsi="Times New Roman" w:cs="Times New Roman"/>
          <w:sz w:val="24"/>
          <w:szCs w:val="24"/>
        </w:rPr>
        <w:t>bakıldığında,</w:t>
      </w:r>
      <w:r w:rsidR="00FA3E1F" w:rsidRPr="00AE4E1E">
        <w:rPr>
          <w:rFonts w:ascii="Times New Roman" w:hAnsi="Times New Roman" w:cs="Times New Roman"/>
          <w:sz w:val="24"/>
          <w:szCs w:val="24"/>
        </w:rPr>
        <w:t xml:space="preserve"> </w:t>
      </w:r>
      <w:r w:rsidR="008D55C9">
        <w:rPr>
          <w:rFonts w:ascii="Times New Roman" w:hAnsi="Times New Roman" w:cs="Times New Roman"/>
          <w:sz w:val="24"/>
          <w:szCs w:val="24"/>
        </w:rPr>
        <w:t>K</w:t>
      </w:r>
      <w:r w:rsidR="00453968">
        <w:rPr>
          <w:rFonts w:ascii="Times New Roman" w:hAnsi="Times New Roman" w:cs="Times New Roman"/>
          <w:sz w:val="24"/>
          <w:szCs w:val="24"/>
        </w:rPr>
        <w:t xml:space="preserve">onut </w:t>
      </w:r>
      <w:r w:rsidR="00564147">
        <w:rPr>
          <w:rFonts w:ascii="Times New Roman" w:hAnsi="Times New Roman" w:cs="Times New Roman"/>
          <w:sz w:val="24"/>
          <w:szCs w:val="24"/>
        </w:rPr>
        <w:t>ve R</w:t>
      </w:r>
      <w:r w:rsidR="001573E9">
        <w:rPr>
          <w:rFonts w:ascii="Times New Roman" w:hAnsi="Times New Roman" w:cs="Times New Roman"/>
          <w:sz w:val="24"/>
          <w:szCs w:val="24"/>
        </w:rPr>
        <w:t xml:space="preserve">ezidans </w:t>
      </w:r>
      <w:r w:rsidR="00104B89" w:rsidRPr="00AE4E1E">
        <w:rPr>
          <w:rFonts w:ascii="Times New Roman" w:hAnsi="Times New Roman" w:cs="Times New Roman"/>
          <w:sz w:val="24"/>
          <w:szCs w:val="24"/>
        </w:rPr>
        <w:t xml:space="preserve">projeleri </w:t>
      </w:r>
      <w:r w:rsidR="00FA3E1F" w:rsidRPr="00AE4E1E">
        <w:rPr>
          <w:rFonts w:ascii="Times New Roman" w:hAnsi="Times New Roman" w:cs="Times New Roman"/>
          <w:sz w:val="24"/>
          <w:szCs w:val="24"/>
        </w:rPr>
        <w:t>%1</w:t>
      </w:r>
      <w:r w:rsidR="00B26FC3">
        <w:rPr>
          <w:rFonts w:ascii="Times New Roman" w:hAnsi="Times New Roman" w:cs="Times New Roman"/>
          <w:sz w:val="24"/>
          <w:szCs w:val="24"/>
        </w:rPr>
        <w:t>3,</w:t>
      </w:r>
      <w:r w:rsidR="00875D05">
        <w:rPr>
          <w:rFonts w:ascii="Times New Roman" w:hAnsi="Times New Roman" w:cs="Times New Roman"/>
          <w:sz w:val="24"/>
          <w:szCs w:val="24"/>
        </w:rPr>
        <w:t>9</w:t>
      </w:r>
      <w:r w:rsidR="008B2716">
        <w:rPr>
          <w:rFonts w:ascii="Times New Roman" w:hAnsi="Times New Roman" w:cs="Times New Roman"/>
          <w:sz w:val="24"/>
          <w:szCs w:val="24"/>
        </w:rPr>
        <w:t>’</w:t>
      </w:r>
      <w:r w:rsidR="00C23F66">
        <w:rPr>
          <w:rFonts w:ascii="Times New Roman" w:hAnsi="Times New Roman" w:cs="Times New Roman"/>
          <w:sz w:val="24"/>
          <w:szCs w:val="24"/>
        </w:rPr>
        <w:t>l</w:t>
      </w:r>
      <w:r w:rsidR="00875D05">
        <w:rPr>
          <w:rFonts w:ascii="Times New Roman" w:hAnsi="Times New Roman" w:cs="Times New Roman"/>
          <w:sz w:val="24"/>
          <w:szCs w:val="24"/>
        </w:rPr>
        <w:t>u</w:t>
      </w:r>
      <w:r w:rsidR="00C23F66">
        <w:rPr>
          <w:rFonts w:ascii="Times New Roman" w:hAnsi="Times New Roman" w:cs="Times New Roman"/>
          <w:sz w:val="24"/>
          <w:szCs w:val="24"/>
        </w:rPr>
        <w:t>k</w:t>
      </w:r>
      <w:r w:rsidR="00295AE5">
        <w:rPr>
          <w:rFonts w:ascii="Times New Roman" w:hAnsi="Times New Roman" w:cs="Times New Roman"/>
          <w:sz w:val="24"/>
          <w:szCs w:val="24"/>
        </w:rPr>
        <w:t xml:space="preserve"> </w:t>
      </w:r>
      <w:r w:rsidR="00B22B5A" w:rsidRPr="00AE4E1E">
        <w:rPr>
          <w:rFonts w:ascii="Times New Roman" w:hAnsi="Times New Roman" w:cs="Times New Roman"/>
          <w:sz w:val="24"/>
          <w:szCs w:val="24"/>
        </w:rPr>
        <w:t>pay ile ilk sırada yer almaktadır. Ardından</w:t>
      </w:r>
      <w:r w:rsidR="00295AE5">
        <w:rPr>
          <w:rFonts w:ascii="Times New Roman" w:hAnsi="Times New Roman" w:cs="Times New Roman"/>
          <w:sz w:val="24"/>
          <w:szCs w:val="24"/>
        </w:rPr>
        <w:t xml:space="preserve"> </w:t>
      </w:r>
      <w:r w:rsidR="00B22B5A" w:rsidRPr="00AE4E1E">
        <w:rPr>
          <w:rFonts w:ascii="Times New Roman" w:hAnsi="Times New Roman" w:cs="Times New Roman"/>
          <w:sz w:val="24"/>
          <w:szCs w:val="24"/>
        </w:rPr>
        <w:t>sırasıyla</w:t>
      </w:r>
      <w:r w:rsidR="00C23F66">
        <w:rPr>
          <w:rFonts w:ascii="Times New Roman" w:hAnsi="Times New Roman" w:cs="Times New Roman"/>
          <w:sz w:val="24"/>
          <w:szCs w:val="24"/>
        </w:rPr>
        <w:t>;</w:t>
      </w:r>
      <w:r w:rsidR="00104B89" w:rsidRPr="00AE4E1E">
        <w:rPr>
          <w:rFonts w:ascii="Times New Roman" w:hAnsi="Times New Roman" w:cs="Times New Roman"/>
          <w:sz w:val="24"/>
          <w:szCs w:val="24"/>
        </w:rPr>
        <w:t xml:space="preserve"> </w:t>
      </w:r>
      <w:r w:rsidR="00453968">
        <w:rPr>
          <w:rFonts w:ascii="Times New Roman" w:hAnsi="Times New Roman" w:cs="Times New Roman"/>
          <w:sz w:val="24"/>
          <w:szCs w:val="24"/>
        </w:rPr>
        <w:t>K</w:t>
      </w:r>
      <w:r w:rsidR="00453968" w:rsidRPr="003E009C">
        <w:rPr>
          <w:rFonts w:ascii="Times New Roman" w:hAnsi="Times New Roman" w:cs="Times New Roman"/>
          <w:sz w:val="24"/>
          <w:szCs w:val="24"/>
        </w:rPr>
        <w:t>arayolu</w:t>
      </w:r>
      <w:r w:rsidR="00453968">
        <w:rPr>
          <w:rFonts w:ascii="Times New Roman" w:hAnsi="Times New Roman" w:cs="Times New Roman"/>
          <w:sz w:val="24"/>
          <w:szCs w:val="24"/>
        </w:rPr>
        <w:t xml:space="preserve"> </w:t>
      </w:r>
      <w:r w:rsidR="00453968" w:rsidRPr="003E009C">
        <w:rPr>
          <w:rFonts w:ascii="Times New Roman" w:hAnsi="Times New Roman" w:cs="Times New Roman"/>
          <w:sz w:val="24"/>
          <w:szCs w:val="24"/>
        </w:rPr>
        <w:t>/</w:t>
      </w:r>
      <w:r w:rsidR="00453968">
        <w:rPr>
          <w:rFonts w:ascii="Times New Roman" w:hAnsi="Times New Roman" w:cs="Times New Roman"/>
          <w:sz w:val="24"/>
          <w:szCs w:val="24"/>
        </w:rPr>
        <w:t xml:space="preserve"> </w:t>
      </w:r>
      <w:r w:rsidR="00453968" w:rsidRPr="003E009C">
        <w:rPr>
          <w:rFonts w:ascii="Times New Roman" w:hAnsi="Times New Roman" w:cs="Times New Roman"/>
          <w:sz w:val="24"/>
          <w:szCs w:val="24"/>
        </w:rPr>
        <w:t>Tünel</w:t>
      </w:r>
      <w:r w:rsidR="00453968">
        <w:rPr>
          <w:rFonts w:ascii="Times New Roman" w:hAnsi="Times New Roman" w:cs="Times New Roman"/>
          <w:sz w:val="24"/>
          <w:szCs w:val="24"/>
        </w:rPr>
        <w:t xml:space="preserve"> </w:t>
      </w:r>
      <w:r w:rsidR="00453968" w:rsidRPr="003E009C">
        <w:rPr>
          <w:rFonts w:ascii="Times New Roman" w:hAnsi="Times New Roman" w:cs="Times New Roman"/>
          <w:sz w:val="24"/>
          <w:szCs w:val="24"/>
        </w:rPr>
        <w:t>/</w:t>
      </w:r>
      <w:r w:rsidR="00453968">
        <w:rPr>
          <w:rFonts w:ascii="Times New Roman" w:hAnsi="Times New Roman" w:cs="Times New Roman"/>
          <w:sz w:val="24"/>
          <w:szCs w:val="24"/>
        </w:rPr>
        <w:t xml:space="preserve"> </w:t>
      </w:r>
      <w:r w:rsidR="00453968" w:rsidRPr="003E009C">
        <w:rPr>
          <w:rFonts w:ascii="Times New Roman" w:hAnsi="Times New Roman" w:cs="Times New Roman"/>
          <w:sz w:val="24"/>
          <w:szCs w:val="24"/>
        </w:rPr>
        <w:t>Köprü</w:t>
      </w:r>
      <w:r w:rsidR="001573E9">
        <w:rPr>
          <w:rFonts w:ascii="Times New Roman" w:hAnsi="Times New Roman" w:cs="Times New Roman"/>
          <w:sz w:val="24"/>
          <w:szCs w:val="24"/>
        </w:rPr>
        <w:t>ler</w:t>
      </w:r>
      <w:r w:rsidR="00295AE5">
        <w:rPr>
          <w:rFonts w:ascii="Times New Roman" w:hAnsi="Times New Roman" w:cs="Times New Roman"/>
          <w:sz w:val="24"/>
          <w:szCs w:val="24"/>
        </w:rPr>
        <w:t>,</w:t>
      </w:r>
      <w:r w:rsidR="00DA1C2C">
        <w:rPr>
          <w:rFonts w:ascii="Times New Roman" w:hAnsi="Times New Roman" w:cs="Times New Roman"/>
          <w:sz w:val="24"/>
          <w:szCs w:val="24"/>
        </w:rPr>
        <w:t xml:space="preserve"> </w:t>
      </w:r>
      <w:r w:rsidR="001573E9">
        <w:rPr>
          <w:rFonts w:ascii="Times New Roman" w:hAnsi="Times New Roman" w:cs="Times New Roman"/>
          <w:sz w:val="24"/>
          <w:szCs w:val="24"/>
        </w:rPr>
        <w:t>T</w:t>
      </w:r>
      <w:r w:rsidR="00340A9E" w:rsidRPr="00AE4E1E">
        <w:rPr>
          <w:rFonts w:ascii="Times New Roman" w:hAnsi="Times New Roman" w:cs="Times New Roman"/>
          <w:sz w:val="24"/>
          <w:szCs w:val="24"/>
        </w:rPr>
        <w:t xml:space="preserve">icaret merkezleri, </w:t>
      </w:r>
      <w:r w:rsidR="001573E9">
        <w:rPr>
          <w:rFonts w:ascii="Times New Roman" w:hAnsi="Times New Roman" w:cs="Times New Roman"/>
          <w:sz w:val="24"/>
          <w:szCs w:val="24"/>
        </w:rPr>
        <w:t>E</w:t>
      </w:r>
      <w:r w:rsidR="00D01045" w:rsidRPr="00AE4E1E">
        <w:rPr>
          <w:rFonts w:ascii="Times New Roman" w:hAnsi="Times New Roman" w:cs="Times New Roman"/>
          <w:sz w:val="24"/>
          <w:szCs w:val="24"/>
        </w:rPr>
        <w:t>nerji santralleri</w:t>
      </w:r>
      <w:r w:rsidR="001C0049">
        <w:rPr>
          <w:rFonts w:ascii="Times New Roman" w:hAnsi="Times New Roman" w:cs="Times New Roman"/>
          <w:sz w:val="24"/>
          <w:szCs w:val="24"/>
        </w:rPr>
        <w:t xml:space="preserve"> ve </w:t>
      </w:r>
      <w:r w:rsidR="001573E9">
        <w:rPr>
          <w:rFonts w:ascii="Times New Roman" w:hAnsi="Times New Roman" w:cs="Times New Roman"/>
          <w:sz w:val="24"/>
          <w:szCs w:val="24"/>
        </w:rPr>
        <w:t>H</w:t>
      </w:r>
      <w:r w:rsidR="001C0049">
        <w:rPr>
          <w:rFonts w:ascii="Times New Roman" w:hAnsi="Times New Roman" w:cs="Times New Roman"/>
          <w:sz w:val="24"/>
          <w:szCs w:val="24"/>
        </w:rPr>
        <w:t>avalimanları</w:t>
      </w:r>
      <w:r w:rsidR="00D01045" w:rsidRPr="00AE4E1E">
        <w:rPr>
          <w:rFonts w:ascii="Times New Roman" w:hAnsi="Times New Roman" w:cs="Times New Roman"/>
          <w:sz w:val="24"/>
          <w:szCs w:val="24"/>
        </w:rPr>
        <w:t xml:space="preserve"> </w:t>
      </w:r>
      <w:r w:rsidR="00340A9E" w:rsidRPr="00AE4E1E">
        <w:rPr>
          <w:rFonts w:ascii="Times New Roman" w:hAnsi="Times New Roman" w:cs="Times New Roman"/>
          <w:sz w:val="24"/>
          <w:szCs w:val="24"/>
        </w:rPr>
        <w:t>gelmektedir.</w:t>
      </w:r>
    </w:p>
    <w:tbl>
      <w:tblPr>
        <w:tblStyle w:val="KlavuzTablo1Ak-Vurgu11"/>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716"/>
        <w:gridCol w:w="876"/>
      </w:tblGrid>
      <w:tr w:rsidR="006803C0" w:rsidRPr="00FD57E7" w:rsidTr="0028563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96" w:type="dxa"/>
            <w:gridSpan w:val="3"/>
            <w:tcBorders>
              <w:bottom w:val="none" w:sz="0" w:space="0" w:color="auto"/>
            </w:tcBorders>
            <w:shd w:val="clear" w:color="auto" w:fill="9CC2E5" w:themeFill="accent1" w:themeFillTint="99"/>
            <w:noWrap/>
            <w:vAlign w:val="center"/>
            <w:hideMark/>
          </w:tcPr>
          <w:p w:rsidR="006803C0" w:rsidRPr="00C76432" w:rsidRDefault="006803C0" w:rsidP="00E0342E">
            <w:pPr>
              <w:rPr>
                <w:rFonts w:ascii="Times New Roman" w:hAnsi="Times New Roman" w:cs="Times New Roman"/>
                <w:bCs w:val="0"/>
                <w:sz w:val="24"/>
                <w:szCs w:val="24"/>
              </w:rPr>
            </w:pPr>
            <w:r w:rsidRPr="00C76432">
              <w:rPr>
                <w:rFonts w:ascii="Times New Roman" w:hAnsi="Times New Roman" w:cs="Times New Roman"/>
                <w:bCs w:val="0"/>
                <w:sz w:val="24"/>
                <w:szCs w:val="24"/>
              </w:rPr>
              <w:t>SEKTÖREL DAĞILIM (202</w:t>
            </w:r>
            <w:r w:rsidR="00E0342E">
              <w:rPr>
                <w:rFonts w:ascii="Times New Roman" w:hAnsi="Times New Roman" w:cs="Times New Roman"/>
                <w:bCs w:val="0"/>
                <w:sz w:val="24"/>
                <w:szCs w:val="24"/>
              </w:rPr>
              <w:t>3</w:t>
            </w:r>
            <w:r w:rsidRPr="00C76432">
              <w:rPr>
                <w:rFonts w:ascii="Times New Roman" w:hAnsi="Times New Roman" w:cs="Times New Roman"/>
                <w:bCs w:val="0"/>
                <w:sz w:val="24"/>
                <w:szCs w:val="24"/>
              </w:rPr>
              <w:t>)</w:t>
            </w:r>
          </w:p>
        </w:tc>
      </w:tr>
      <w:tr w:rsidR="006803C0" w:rsidRPr="00FD57E7" w:rsidTr="0028563A">
        <w:trPr>
          <w:trHeight w:val="297"/>
        </w:trPr>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auto"/>
            </w:tcBorders>
            <w:shd w:val="clear" w:color="auto" w:fill="9CC2E5" w:themeFill="accent1" w:themeFillTint="99"/>
            <w:noWrap/>
            <w:vAlign w:val="center"/>
            <w:hideMark/>
          </w:tcPr>
          <w:p w:rsidR="006803C0" w:rsidRPr="00C76432" w:rsidRDefault="006803C0" w:rsidP="00C76432">
            <w:pPr>
              <w:rPr>
                <w:rFonts w:ascii="Times New Roman" w:hAnsi="Times New Roman" w:cs="Times New Roman"/>
                <w:bCs w:val="0"/>
                <w:sz w:val="24"/>
                <w:szCs w:val="24"/>
              </w:rPr>
            </w:pPr>
            <w:r w:rsidRPr="00C76432">
              <w:rPr>
                <w:rFonts w:ascii="Times New Roman" w:hAnsi="Times New Roman" w:cs="Times New Roman"/>
                <w:bCs w:val="0"/>
                <w:sz w:val="24"/>
                <w:szCs w:val="24"/>
              </w:rPr>
              <w:t>Ülkeler</w:t>
            </w:r>
          </w:p>
        </w:tc>
        <w:tc>
          <w:tcPr>
            <w:tcW w:w="1716" w:type="dxa"/>
            <w:tcBorders>
              <w:bottom w:val="single" w:sz="4" w:space="0" w:color="auto"/>
            </w:tcBorders>
            <w:shd w:val="clear" w:color="auto" w:fill="9CC2E5" w:themeFill="accent1" w:themeFillTint="99"/>
            <w:noWrap/>
            <w:vAlign w:val="center"/>
            <w:hideMark/>
          </w:tcPr>
          <w:p w:rsidR="006803C0" w:rsidRPr="00C76432" w:rsidRDefault="006803C0" w:rsidP="00E03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76432">
              <w:rPr>
                <w:rFonts w:ascii="Times New Roman" w:hAnsi="Times New Roman" w:cs="Times New Roman"/>
                <w:b/>
                <w:bCs/>
                <w:sz w:val="24"/>
                <w:szCs w:val="24"/>
              </w:rPr>
              <w:t>Toplam Proje Bedeli ($)</w:t>
            </w:r>
          </w:p>
        </w:tc>
        <w:tc>
          <w:tcPr>
            <w:tcW w:w="876" w:type="dxa"/>
            <w:tcBorders>
              <w:bottom w:val="single" w:sz="4" w:space="0" w:color="auto"/>
            </w:tcBorders>
            <w:shd w:val="clear" w:color="auto" w:fill="9CC2E5" w:themeFill="accent1" w:themeFillTint="99"/>
            <w:noWrap/>
            <w:vAlign w:val="center"/>
            <w:hideMark/>
          </w:tcPr>
          <w:p w:rsidR="006803C0" w:rsidRPr="00C76432" w:rsidRDefault="006803C0" w:rsidP="00E03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76432">
              <w:rPr>
                <w:rFonts w:ascii="Times New Roman" w:hAnsi="Times New Roman" w:cs="Times New Roman"/>
                <w:b/>
                <w:bCs/>
                <w:sz w:val="24"/>
                <w:szCs w:val="24"/>
              </w:rPr>
              <w:t>Pay (%)</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tcPr>
          <w:p w:rsidR="00AB4A58" w:rsidRPr="0028563A" w:rsidRDefault="00AB4A58" w:rsidP="00AB4A58">
            <w:pPr>
              <w:jc w:val="center"/>
              <w:rPr>
                <w:rFonts w:ascii="Times New Roman" w:hAnsi="Times New Roman" w:cs="Times New Roman"/>
                <w:bCs w:val="0"/>
                <w:sz w:val="24"/>
                <w:szCs w:val="24"/>
              </w:rPr>
            </w:pPr>
            <w:r w:rsidRPr="0028563A">
              <w:rPr>
                <w:rFonts w:ascii="Times New Roman" w:hAnsi="Times New Roman" w:cs="Times New Roman"/>
                <w:bCs w:val="0"/>
                <w:sz w:val="24"/>
                <w:szCs w:val="24"/>
              </w:rPr>
              <w:t>Karayolu/Tünel/Köprü</w:t>
            </w:r>
          </w:p>
        </w:tc>
        <w:tc>
          <w:tcPr>
            <w:tcW w:w="1716" w:type="dxa"/>
            <w:tcBorders>
              <w:top w:val="single" w:sz="4" w:space="0" w:color="333399"/>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5.657.699.467</w:t>
            </w:r>
          </w:p>
        </w:tc>
        <w:tc>
          <w:tcPr>
            <w:tcW w:w="876" w:type="dxa"/>
            <w:tcBorders>
              <w:top w:val="single" w:sz="4" w:space="0" w:color="333399"/>
              <w:left w:val="nil"/>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20,0%</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AB4A58" w:rsidRPr="0028563A" w:rsidRDefault="00AB4A58" w:rsidP="00AB4A58">
            <w:pPr>
              <w:rPr>
                <w:rFonts w:ascii="Times New Roman" w:hAnsi="Times New Roman" w:cs="Times New Roman"/>
                <w:bCs w:val="0"/>
                <w:sz w:val="24"/>
                <w:szCs w:val="24"/>
              </w:rPr>
            </w:pPr>
            <w:r w:rsidRPr="0028563A">
              <w:rPr>
                <w:rFonts w:ascii="Times New Roman" w:hAnsi="Times New Roman" w:cs="Times New Roman"/>
                <w:bCs w:val="0"/>
                <w:sz w:val="24"/>
                <w:szCs w:val="24"/>
              </w:rPr>
              <w:t>Enerji Santrali</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4.315.462.464</w:t>
            </w:r>
          </w:p>
        </w:tc>
        <w:tc>
          <w:tcPr>
            <w:tcW w:w="876" w:type="dxa"/>
            <w:tcBorders>
              <w:top w:val="nil"/>
              <w:left w:val="nil"/>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15,3%</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AB4A58" w:rsidRPr="0028563A" w:rsidRDefault="00AB4A58" w:rsidP="00AB4A58">
            <w:pPr>
              <w:rPr>
                <w:rFonts w:ascii="Times New Roman" w:hAnsi="Times New Roman" w:cs="Times New Roman"/>
                <w:bCs w:val="0"/>
                <w:sz w:val="24"/>
                <w:szCs w:val="24"/>
              </w:rPr>
            </w:pPr>
            <w:r w:rsidRPr="0028563A">
              <w:rPr>
                <w:rFonts w:ascii="Times New Roman" w:hAnsi="Times New Roman" w:cs="Times New Roman"/>
                <w:bCs w:val="0"/>
                <w:sz w:val="24"/>
                <w:szCs w:val="24"/>
              </w:rPr>
              <w:t>Konut</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2.860.967.379</w:t>
            </w:r>
          </w:p>
        </w:tc>
        <w:tc>
          <w:tcPr>
            <w:tcW w:w="876" w:type="dxa"/>
            <w:tcBorders>
              <w:top w:val="nil"/>
              <w:left w:val="nil"/>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10,1%</w:t>
            </w:r>
          </w:p>
        </w:tc>
      </w:tr>
      <w:tr w:rsidR="00AB4A58" w:rsidRPr="00FD57E7" w:rsidTr="00DA6F15">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AB4A58" w:rsidRPr="0028563A" w:rsidRDefault="00AB4A58" w:rsidP="00AB4A58">
            <w:pPr>
              <w:rPr>
                <w:rFonts w:ascii="Times New Roman" w:hAnsi="Times New Roman" w:cs="Times New Roman"/>
                <w:bCs w:val="0"/>
                <w:sz w:val="24"/>
                <w:szCs w:val="24"/>
              </w:rPr>
            </w:pPr>
            <w:r w:rsidRPr="0028563A">
              <w:rPr>
                <w:rFonts w:ascii="Times New Roman" w:hAnsi="Times New Roman" w:cs="Times New Roman"/>
                <w:bCs w:val="0"/>
                <w:sz w:val="24"/>
                <w:szCs w:val="24"/>
              </w:rPr>
              <w:t>Havalimanı</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2.683.556.989</w:t>
            </w:r>
          </w:p>
        </w:tc>
        <w:tc>
          <w:tcPr>
            <w:tcW w:w="876" w:type="dxa"/>
            <w:tcBorders>
              <w:top w:val="nil"/>
              <w:left w:val="nil"/>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9,5%</w:t>
            </w:r>
          </w:p>
        </w:tc>
      </w:tr>
      <w:tr w:rsidR="00AB4A58" w:rsidRPr="00FD57E7" w:rsidTr="00DA6F15">
        <w:trPr>
          <w:trHeight w:hRule="exact" w:val="369"/>
        </w:trPr>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auto"/>
            </w:tcBorders>
            <w:noWrap/>
            <w:vAlign w:val="center"/>
          </w:tcPr>
          <w:p w:rsidR="00AB4A58" w:rsidRPr="0028563A" w:rsidRDefault="00AB4A58" w:rsidP="00AB4A58">
            <w:pPr>
              <w:rPr>
                <w:rFonts w:ascii="Times New Roman" w:hAnsi="Times New Roman" w:cs="Times New Roman"/>
                <w:bCs w:val="0"/>
                <w:sz w:val="24"/>
                <w:szCs w:val="24"/>
              </w:rPr>
            </w:pPr>
            <w:r w:rsidRPr="0028563A">
              <w:rPr>
                <w:rFonts w:ascii="Times New Roman" w:hAnsi="Times New Roman" w:cs="Times New Roman"/>
                <w:bCs w:val="0"/>
                <w:sz w:val="24"/>
                <w:szCs w:val="24"/>
              </w:rPr>
              <w:t>Demiryolu</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2.258.780.823</w:t>
            </w:r>
          </w:p>
        </w:tc>
        <w:tc>
          <w:tcPr>
            <w:tcW w:w="876" w:type="dxa"/>
            <w:tcBorders>
              <w:top w:val="nil"/>
              <w:left w:val="nil"/>
              <w:bottom w:val="single" w:sz="4" w:space="0" w:color="333399"/>
              <w:right w:val="single" w:sz="4" w:space="0" w:color="333399"/>
            </w:tcBorders>
            <w:shd w:val="clear" w:color="auto" w:fill="auto"/>
            <w:noWrap/>
            <w:hideMark/>
          </w:tcPr>
          <w:p w:rsidR="00AB4A58" w:rsidRPr="00AB4A58" w:rsidRDefault="00AB4A58" w:rsidP="00AB4A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A58">
              <w:rPr>
                <w:rFonts w:ascii="Times New Roman" w:hAnsi="Times New Roman" w:cs="Times New Roman"/>
                <w:sz w:val="24"/>
                <w:szCs w:val="24"/>
              </w:rPr>
              <w:t>8,0%</w:t>
            </w:r>
          </w:p>
        </w:tc>
      </w:tr>
      <w:tr w:rsidR="00D264CB" w:rsidRPr="00FD57E7" w:rsidTr="0028563A">
        <w:trPr>
          <w:trHeight w:hRule="exact" w:val="292"/>
        </w:trPr>
        <w:tc>
          <w:tcPr>
            <w:cnfStyle w:val="001000000000" w:firstRow="0" w:lastRow="0" w:firstColumn="1" w:lastColumn="0" w:oddVBand="0" w:evenVBand="0" w:oddHBand="0" w:evenHBand="0" w:firstRowFirstColumn="0" w:firstRowLastColumn="0" w:lastRowFirstColumn="0" w:lastRowLastColumn="0"/>
            <w:tcW w:w="5196" w:type="dxa"/>
            <w:gridSpan w:val="3"/>
            <w:tcBorders>
              <w:top w:val="single" w:sz="4" w:space="0" w:color="auto"/>
              <w:left w:val="nil"/>
              <w:bottom w:val="nil"/>
              <w:right w:val="nil"/>
            </w:tcBorders>
            <w:noWrap/>
            <w:vAlign w:val="center"/>
          </w:tcPr>
          <w:p w:rsidR="00D264CB" w:rsidRPr="00757E52" w:rsidRDefault="00D264CB" w:rsidP="00D264CB">
            <w:pPr>
              <w:rPr>
                <w:rFonts w:ascii="Times New Roman" w:hAnsi="Times New Roman" w:cs="Times New Roman"/>
              </w:rPr>
            </w:pPr>
          </w:p>
        </w:tc>
      </w:tr>
    </w:tbl>
    <w:p w:rsidR="00605A4F" w:rsidRPr="006803C0" w:rsidRDefault="00453968" w:rsidP="00757E52">
      <w:pPr>
        <w:tabs>
          <w:tab w:val="left" w:pos="3969"/>
        </w:tabs>
        <w:spacing w:after="200" w:line="276" w:lineRule="auto"/>
        <w:ind w:right="5103"/>
        <w:jc w:val="both"/>
        <w:rPr>
          <w:rFonts w:ascii="Times New Roman" w:hAnsi="Times New Roman" w:cs="Times New Roman"/>
          <w:sz w:val="24"/>
          <w:szCs w:val="24"/>
        </w:rPr>
      </w:pPr>
      <w:r w:rsidRPr="00E0342E">
        <w:rPr>
          <w:rFonts w:ascii="Times New Roman" w:hAnsi="Times New Roman" w:cs="Times New Roman"/>
          <w:sz w:val="24"/>
          <w:szCs w:val="24"/>
        </w:rPr>
        <w:t>202</w:t>
      </w:r>
      <w:r w:rsidR="005762C0" w:rsidRPr="00E0342E">
        <w:rPr>
          <w:rFonts w:ascii="Times New Roman" w:hAnsi="Times New Roman" w:cs="Times New Roman"/>
          <w:sz w:val="24"/>
          <w:szCs w:val="24"/>
        </w:rPr>
        <w:t>3</w:t>
      </w:r>
      <w:r w:rsidR="00F55BB4" w:rsidRPr="00E0342E">
        <w:rPr>
          <w:rFonts w:ascii="Times New Roman" w:hAnsi="Times New Roman" w:cs="Times New Roman"/>
          <w:sz w:val="24"/>
          <w:szCs w:val="24"/>
        </w:rPr>
        <w:t xml:space="preserve"> yılında en çok proje üstlenilen sektörlerin dağılımına bakıldığında ise, </w:t>
      </w:r>
      <w:r w:rsidR="0028563A">
        <w:rPr>
          <w:rFonts w:ascii="Times New Roman" w:hAnsi="Times New Roman" w:cs="Times New Roman"/>
          <w:sz w:val="24"/>
          <w:szCs w:val="24"/>
        </w:rPr>
        <w:t xml:space="preserve">Karayolu / Tünel / Köprü projeleri </w:t>
      </w:r>
      <w:r w:rsidR="00F55BB4" w:rsidRPr="00E0342E">
        <w:rPr>
          <w:rFonts w:ascii="Times New Roman" w:hAnsi="Times New Roman" w:cs="Times New Roman"/>
          <w:sz w:val="24"/>
          <w:szCs w:val="24"/>
        </w:rPr>
        <w:t>%</w:t>
      </w:r>
      <w:r w:rsidR="00E0342E" w:rsidRPr="00E0342E">
        <w:rPr>
          <w:rFonts w:ascii="Times New Roman" w:hAnsi="Times New Roman" w:cs="Times New Roman"/>
          <w:sz w:val="24"/>
          <w:szCs w:val="24"/>
        </w:rPr>
        <w:t>19,</w:t>
      </w:r>
      <w:r w:rsidR="00050C2F">
        <w:rPr>
          <w:rFonts w:ascii="Times New Roman" w:hAnsi="Times New Roman" w:cs="Times New Roman"/>
          <w:sz w:val="24"/>
          <w:szCs w:val="24"/>
        </w:rPr>
        <w:t>7</w:t>
      </w:r>
      <w:r w:rsidR="0028563A">
        <w:rPr>
          <w:rFonts w:ascii="Times New Roman" w:hAnsi="Times New Roman" w:cs="Times New Roman"/>
          <w:sz w:val="24"/>
          <w:szCs w:val="24"/>
        </w:rPr>
        <w:t>’li</w:t>
      </w:r>
      <w:r w:rsidR="00E0342E" w:rsidRPr="00E0342E">
        <w:rPr>
          <w:rFonts w:ascii="Times New Roman" w:hAnsi="Times New Roman" w:cs="Times New Roman"/>
          <w:sz w:val="24"/>
          <w:szCs w:val="24"/>
        </w:rPr>
        <w:t xml:space="preserve">k </w:t>
      </w:r>
      <w:r w:rsidR="00F55BB4" w:rsidRPr="00E0342E">
        <w:rPr>
          <w:rFonts w:ascii="Times New Roman" w:hAnsi="Times New Roman" w:cs="Times New Roman"/>
          <w:sz w:val="24"/>
          <w:szCs w:val="24"/>
        </w:rPr>
        <w:t>pay ile ilk sırada yer almaktadır. Ardından sırasıyla</w:t>
      </w:r>
      <w:r w:rsidR="006803C0" w:rsidRPr="00E0342E">
        <w:rPr>
          <w:rFonts w:ascii="Times New Roman" w:hAnsi="Times New Roman" w:cs="Times New Roman"/>
          <w:sz w:val="24"/>
          <w:szCs w:val="24"/>
        </w:rPr>
        <w:t xml:space="preserve">; </w:t>
      </w:r>
      <w:r w:rsidR="0028563A">
        <w:rPr>
          <w:rFonts w:ascii="Times New Roman" w:hAnsi="Times New Roman" w:cs="Times New Roman"/>
          <w:sz w:val="24"/>
          <w:szCs w:val="24"/>
        </w:rPr>
        <w:t>Enerji Santrali</w:t>
      </w:r>
      <w:r w:rsidR="001E2385" w:rsidRPr="00E0342E">
        <w:rPr>
          <w:rFonts w:ascii="Times New Roman" w:hAnsi="Times New Roman" w:cs="Times New Roman"/>
          <w:sz w:val="24"/>
          <w:szCs w:val="24"/>
        </w:rPr>
        <w:t xml:space="preserve">, </w:t>
      </w:r>
      <w:r w:rsidR="0028563A">
        <w:rPr>
          <w:rFonts w:ascii="Times New Roman" w:hAnsi="Times New Roman" w:cs="Times New Roman"/>
          <w:sz w:val="24"/>
          <w:szCs w:val="24"/>
        </w:rPr>
        <w:t xml:space="preserve">Konut, Havalimanı ve </w:t>
      </w:r>
      <w:r w:rsidR="00E0342E" w:rsidRPr="00E0342E">
        <w:rPr>
          <w:rFonts w:ascii="Times New Roman" w:hAnsi="Times New Roman" w:cs="Times New Roman"/>
          <w:sz w:val="24"/>
          <w:szCs w:val="24"/>
        </w:rPr>
        <w:t xml:space="preserve">Demiryolu </w:t>
      </w:r>
      <w:r w:rsidR="0028563A">
        <w:rPr>
          <w:rFonts w:ascii="Times New Roman" w:hAnsi="Times New Roman" w:cs="Times New Roman"/>
          <w:sz w:val="24"/>
          <w:szCs w:val="24"/>
        </w:rPr>
        <w:t xml:space="preserve">projeleri </w:t>
      </w:r>
      <w:r w:rsidR="00F55BB4" w:rsidRPr="00E0342E">
        <w:rPr>
          <w:rFonts w:ascii="Times New Roman" w:hAnsi="Times New Roman" w:cs="Times New Roman"/>
          <w:sz w:val="24"/>
          <w:szCs w:val="24"/>
        </w:rPr>
        <w:t>gelmektedir.</w:t>
      </w:r>
      <w:r w:rsidR="004D5BA8" w:rsidRPr="00E0342E">
        <w:rPr>
          <w:rFonts w:ascii="Times New Roman" w:hAnsi="Times New Roman" w:cs="Times New Roman"/>
          <w:sz w:val="24"/>
          <w:szCs w:val="24"/>
        </w:rPr>
        <w:t xml:space="preserve"> </w:t>
      </w:r>
      <w:r w:rsidRPr="00E0342E">
        <w:rPr>
          <w:rFonts w:ascii="Times New Roman" w:hAnsi="Times New Roman" w:cs="Times New Roman"/>
          <w:sz w:val="24"/>
          <w:szCs w:val="24"/>
        </w:rPr>
        <w:t>Bu durum, 202</w:t>
      </w:r>
      <w:r w:rsidR="00E0342E" w:rsidRPr="00E0342E">
        <w:rPr>
          <w:rFonts w:ascii="Times New Roman" w:hAnsi="Times New Roman" w:cs="Times New Roman"/>
          <w:sz w:val="24"/>
          <w:szCs w:val="24"/>
        </w:rPr>
        <w:t xml:space="preserve">3 </w:t>
      </w:r>
      <w:r w:rsidR="004D5BA8" w:rsidRPr="00E0342E">
        <w:rPr>
          <w:rFonts w:ascii="Times New Roman" w:hAnsi="Times New Roman" w:cs="Times New Roman"/>
          <w:sz w:val="24"/>
          <w:szCs w:val="24"/>
        </w:rPr>
        <w:t>yılında firmalarımızın katma değerli sektörlerde d</w:t>
      </w:r>
      <w:r w:rsidR="00E0342E">
        <w:rPr>
          <w:rFonts w:ascii="Times New Roman" w:hAnsi="Times New Roman" w:cs="Times New Roman"/>
          <w:sz w:val="24"/>
          <w:szCs w:val="24"/>
        </w:rPr>
        <w:t xml:space="preserve">aha fazla proje üstlendiklerini </w:t>
      </w:r>
      <w:r w:rsidR="004D5BA8" w:rsidRPr="00E0342E">
        <w:rPr>
          <w:rFonts w:ascii="Times New Roman" w:hAnsi="Times New Roman" w:cs="Times New Roman"/>
          <w:sz w:val="24"/>
          <w:szCs w:val="24"/>
        </w:rPr>
        <w:t>göstermektedir.</w:t>
      </w:r>
      <w:r w:rsidR="00D63007">
        <w:rPr>
          <w:rFonts w:ascii="Times New Roman" w:hAnsi="Times New Roman" w:cs="Times New Roman"/>
          <w:sz w:val="24"/>
          <w:szCs w:val="24"/>
        </w:rPr>
        <w:tab/>
      </w:r>
      <w:r w:rsidR="00D63007">
        <w:rPr>
          <w:rFonts w:ascii="Times New Roman" w:hAnsi="Times New Roman" w:cs="Times New Roman"/>
          <w:sz w:val="24"/>
          <w:szCs w:val="24"/>
        </w:rPr>
        <w:tab/>
      </w:r>
      <w:r w:rsidR="00F55BB4">
        <w:rPr>
          <w:rFonts w:ascii="Times New Roman" w:hAnsi="Times New Roman" w:cs="Times New Roman"/>
          <w:sz w:val="24"/>
          <w:szCs w:val="24"/>
        </w:rPr>
        <w:tab/>
      </w:r>
      <w:r w:rsidR="00F55BB4">
        <w:rPr>
          <w:rFonts w:ascii="Times New Roman" w:hAnsi="Times New Roman" w:cs="Times New Roman"/>
          <w:sz w:val="24"/>
          <w:szCs w:val="24"/>
        </w:rPr>
        <w:tab/>
      </w:r>
      <w:r w:rsidR="00F55BB4">
        <w:rPr>
          <w:rFonts w:ascii="Times New Roman" w:hAnsi="Times New Roman" w:cs="Times New Roman"/>
          <w:sz w:val="24"/>
          <w:szCs w:val="24"/>
        </w:rPr>
        <w:tab/>
      </w:r>
      <w:r w:rsidR="00F55BB4">
        <w:rPr>
          <w:rFonts w:ascii="Times New Roman" w:hAnsi="Times New Roman" w:cs="Times New Roman"/>
          <w:sz w:val="24"/>
          <w:szCs w:val="24"/>
        </w:rPr>
        <w:tab/>
      </w:r>
    </w:p>
    <w:p w:rsidR="00FD57E7" w:rsidRPr="00340A9E" w:rsidRDefault="00340A9E" w:rsidP="00340A9E">
      <w:pPr>
        <w:spacing w:after="200" w:line="276" w:lineRule="auto"/>
        <w:jc w:val="both"/>
        <w:rPr>
          <w:rFonts w:ascii="Times New Roman" w:hAnsi="Times New Roman" w:cs="Times New Roman"/>
          <w:b/>
          <w:sz w:val="24"/>
          <w:szCs w:val="24"/>
        </w:rPr>
      </w:pPr>
      <w:r w:rsidRPr="0008206F">
        <w:rPr>
          <w:rFonts w:ascii="Times New Roman" w:hAnsi="Times New Roman" w:cs="Times New Roman"/>
          <w:b/>
          <w:sz w:val="24"/>
          <w:szCs w:val="24"/>
        </w:rPr>
        <w:t>4) SEKTÖRÜN PERFORMANSINA İLİŞKİN DEĞERLENDİRME</w:t>
      </w:r>
      <w:r w:rsidRPr="00340A9E">
        <w:rPr>
          <w:rFonts w:ascii="Times New Roman" w:hAnsi="Times New Roman" w:cs="Times New Roman"/>
          <w:b/>
          <w:sz w:val="24"/>
          <w:szCs w:val="24"/>
        </w:rPr>
        <w:t xml:space="preserve"> </w:t>
      </w:r>
    </w:p>
    <w:p w:rsidR="00CC041E" w:rsidRDefault="00FD57E7" w:rsidP="00002AE9">
      <w:pPr>
        <w:spacing w:after="200" w:line="276"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 xml:space="preserve">Türk müteahhitleri </w:t>
      </w:r>
      <w:r w:rsidRPr="00437393">
        <w:rPr>
          <w:rFonts w:ascii="Times New Roman" w:hAnsi="Times New Roman" w:cs="Times New Roman"/>
          <w:color w:val="000000" w:themeColor="text1"/>
          <w:sz w:val="24"/>
          <w:szCs w:val="24"/>
        </w:rPr>
        <w:t>tarafından 1972</w:t>
      </w:r>
      <w:r w:rsidR="00437393">
        <w:rPr>
          <w:rFonts w:ascii="Times New Roman" w:hAnsi="Times New Roman" w:cs="Times New Roman"/>
          <w:color w:val="000000" w:themeColor="text1"/>
          <w:sz w:val="24"/>
          <w:szCs w:val="24"/>
        </w:rPr>
        <w:t>-</w:t>
      </w:r>
      <w:r w:rsidRPr="00437393">
        <w:rPr>
          <w:rFonts w:ascii="Times New Roman" w:hAnsi="Times New Roman" w:cs="Times New Roman"/>
          <w:color w:val="000000" w:themeColor="text1"/>
          <w:sz w:val="24"/>
          <w:szCs w:val="24"/>
        </w:rPr>
        <w:t>2002</w:t>
      </w:r>
      <w:r w:rsidRPr="00957299">
        <w:rPr>
          <w:rFonts w:ascii="Times New Roman" w:hAnsi="Times New Roman" w:cs="Times New Roman"/>
          <w:color w:val="000000" w:themeColor="text1"/>
          <w:sz w:val="24"/>
          <w:szCs w:val="24"/>
        </w:rPr>
        <w:t xml:space="preserve"> döneminde, diğer bir i</w:t>
      </w:r>
      <w:r w:rsidR="006F0CB6">
        <w:rPr>
          <w:rFonts w:ascii="Times New Roman" w:hAnsi="Times New Roman" w:cs="Times New Roman"/>
          <w:color w:val="000000" w:themeColor="text1"/>
          <w:sz w:val="24"/>
          <w:szCs w:val="24"/>
        </w:rPr>
        <w:t xml:space="preserve">fadeyle 30 yıl içerisinde, yurt </w:t>
      </w:r>
      <w:r w:rsidRPr="00957299">
        <w:rPr>
          <w:rFonts w:ascii="Times New Roman" w:hAnsi="Times New Roman" w:cs="Times New Roman"/>
          <w:color w:val="000000" w:themeColor="text1"/>
          <w:sz w:val="24"/>
          <w:szCs w:val="24"/>
        </w:rPr>
        <w:t xml:space="preserve">dışında üstlenilen iş hacmi </w:t>
      </w:r>
      <w:r w:rsidR="002D30A4">
        <w:rPr>
          <w:rFonts w:ascii="Times New Roman" w:hAnsi="Times New Roman" w:cs="Times New Roman"/>
          <w:color w:val="000000" w:themeColor="text1"/>
          <w:sz w:val="24"/>
          <w:szCs w:val="24"/>
        </w:rPr>
        <w:t>50</w:t>
      </w:r>
      <w:r w:rsidRPr="00957299">
        <w:rPr>
          <w:rFonts w:ascii="Times New Roman" w:hAnsi="Times New Roman" w:cs="Times New Roman"/>
          <w:color w:val="000000" w:themeColor="text1"/>
          <w:sz w:val="24"/>
          <w:szCs w:val="24"/>
        </w:rPr>
        <w:t xml:space="preserve"> milyar dolardı</w:t>
      </w:r>
      <w:r w:rsidR="006F0CB6">
        <w:rPr>
          <w:rFonts w:ascii="Times New Roman" w:hAnsi="Times New Roman" w:cs="Times New Roman"/>
          <w:color w:val="000000" w:themeColor="text1"/>
          <w:sz w:val="24"/>
          <w:szCs w:val="24"/>
        </w:rPr>
        <w:t xml:space="preserve">r. 2002 yılından beri ise, yurt </w:t>
      </w:r>
      <w:r w:rsidRPr="00957299">
        <w:rPr>
          <w:rFonts w:ascii="Times New Roman" w:hAnsi="Times New Roman" w:cs="Times New Roman"/>
          <w:color w:val="000000" w:themeColor="text1"/>
          <w:sz w:val="24"/>
          <w:szCs w:val="24"/>
        </w:rPr>
        <w:t xml:space="preserve">dışında üstlenilen iş hacmi </w:t>
      </w:r>
      <w:r w:rsidR="001516F0">
        <w:rPr>
          <w:rFonts w:ascii="Times New Roman" w:hAnsi="Times New Roman" w:cs="Times New Roman"/>
          <w:color w:val="000000" w:themeColor="text1"/>
          <w:sz w:val="24"/>
          <w:szCs w:val="24"/>
        </w:rPr>
        <w:t>4</w:t>
      </w:r>
      <w:r w:rsidR="00015CA6">
        <w:rPr>
          <w:rFonts w:ascii="Times New Roman" w:hAnsi="Times New Roman" w:cs="Times New Roman"/>
          <w:color w:val="000000" w:themeColor="text1"/>
          <w:sz w:val="24"/>
          <w:szCs w:val="24"/>
        </w:rPr>
        <w:t>7</w:t>
      </w:r>
      <w:r w:rsidR="00792444">
        <w:rPr>
          <w:rFonts w:ascii="Times New Roman" w:hAnsi="Times New Roman" w:cs="Times New Roman"/>
          <w:color w:val="000000" w:themeColor="text1"/>
          <w:sz w:val="24"/>
          <w:szCs w:val="24"/>
        </w:rPr>
        <w:t>3</w:t>
      </w:r>
      <w:r w:rsidRPr="00957299">
        <w:rPr>
          <w:rFonts w:ascii="Times New Roman" w:hAnsi="Times New Roman" w:cs="Times New Roman"/>
          <w:color w:val="000000" w:themeColor="text1"/>
          <w:sz w:val="24"/>
          <w:szCs w:val="24"/>
        </w:rPr>
        <w:t xml:space="preserve"> milyar dolar</w:t>
      </w:r>
      <w:r w:rsidR="00E15070">
        <w:rPr>
          <w:rFonts w:ascii="Times New Roman" w:hAnsi="Times New Roman" w:cs="Times New Roman"/>
          <w:color w:val="000000" w:themeColor="text1"/>
          <w:sz w:val="24"/>
          <w:szCs w:val="24"/>
        </w:rPr>
        <w:t xml:space="preserve">ı aşmıştır. </w:t>
      </w:r>
      <w:r w:rsidRPr="00957299">
        <w:rPr>
          <w:rFonts w:ascii="Times New Roman" w:hAnsi="Times New Roman" w:cs="Times New Roman"/>
          <w:color w:val="000000" w:themeColor="text1"/>
          <w:sz w:val="24"/>
          <w:szCs w:val="24"/>
        </w:rPr>
        <w:t xml:space="preserve">Son </w:t>
      </w:r>
      <w:r w:rsidR="00E15070">
        <w:rPr>
          <w:rFonts w:ascii="Times New Roman" w:hAnsi="Times New Roman" w:cs="Times New Roman"/>
          <w:color w:val="000000" w:themeColor="text1"/>
          <w:sz w:val="24"/>
          <w:szCs w:val="24"/>
        </w:rPr>
        <w:t>20</w:t>
      </w:r>
      <w:r w:rsidRPr="00957299">
        <w:rPr>
          <w:rFonts w:ascii="Times New Roman" w:hAnsi="Times New Roman" w:cs="Times New Roman"/>
          <w:color w:val="000000" w:themeColor="text1"/>
          <w:sz w:val="24"/>
          <w:szCs w:val="24"/>
        </w:rPr>
        <w:t xml:space="preserve"> yıl içerisinde</w:t>
      </w:r>
      <w:r w:rsidR="001C0049">
        <w:rPr>
          <w:rFonts w:ascii="Times New Roman" w:hAnsi="Times New Roman" w:cs="Times New Roman"/>
          <w:color w:val="000000" w:themeColor="text1"/>
          <w:sz w:val="24"/>
          <w:szCs w:val="24"/>
        </w:rPr>
        <w:t>,</w:t>
      </w:r>
      <w:r w:rsidRPr="00957299">
        <w:rPr>
          <w:rFonts w:ascii="Times New Roman" w:hAnsi="Times New Roman" w:cs="Times New Roman"/>
          <w:color w:val="000000" w:themeColor="text1"/>
          <w:sz w:val="24"/>
          <w:szCs w:val="24"/>
        </w:rPr>
        <w:t xml:space="preserve"> Türk müteahhitleri tarafından yurt</w:t>
      </w:r>
      <w:r w:rsidR="006F0CB6">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 xml:space="preserve">dışında üstlenilen projelerin toplam bedeli bugüne kadar üstlenilen proje bedelinin </w:t>
      </w:r>
      <w:r w:rsidR="00630EBF">
        <w:rPr>
          <w:rFonts w:ascii="Times New Roman" w:hAnsi="Times New Roman" w:cs="Times New Roman"/>
          <w:color w:val="000000" w:themeColor="text1"/>
          <w:sz w:val="24"/>
          <w:szCs w:val="24"/>
        </w:rPr>
        <w:t xml:space="preserve">yaklaşık </w:t>
      </w:r>
      <w:r w:rsidRPr="00957299">
        <w:rPr>
          <w:rFonts w:ascii="Times New Roman" w:hAnsi="Times New Roman" w:cs="Times New Roman"/>
          <w:color w:val="000000" w:themeColor="text1"/>
          <w:sz w:val="24"/>
          <w:szCs w:val="24"/>
        </w:rPr>
        <w:t>%</w:t>
      </w:r>
      <w:r w:rsidR="00630EBF">
        <w:rPr>
          <w:rFonts w:ascii="Times New Roman" w:hAnsi="Times New Roman" w:cs="Times New Roman"/>
          <w:color w:val="000000" w:themeColor="text1"/>
          <w:sz w:val="24"/>
          <w:szCs w:val="24"/>
        </w:rPr>
        <w:t>90</w:t>
      </w:r>
      <w:r w:rsidR="000F49F7">
        <w:rPr>
          <w:rFonts w:ascii="Times New Roman" w:hAnsi="Times New Roman" w:cs="Times New Roman"/>
          <w:color w:val="000000" w:themeColor="text1"/>
          <w:sz w:val="24"/>
          <w:szCs w:val="24"/>
        </w:rPr>
        <w:t>’</w:t>
      </w:r>
      <w:r w:rsidR="00630EBF">
        <w:rPr>
          <w:rFonts w:ascii="Times New Roman" w:hAnsi="Times New Roman" w:cs="Times New Roman"/>
          <w:color w:val="000000" w:themeColor="text1"/>
          <w:sz w:val="24"/>
          <w:szCs w:val="24"/>
        </w:rPr>
        <w:t>ını</w:t>
      </w:r>
      <w:r w:rsidR="000F49F7">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 xml:space="preserve">oluşturmaktadır. Benzer şekilde, 2001 yılında 2,9 milyar dolar olan projelerin yıllık toplam bedeli 10 katına çıkarak </w:t>
      </w:r>
      <w:r w:rsidR="00CC041E">
        <w:rPr>
          <w:rFonts w:ascii="Times New Roman" w:hAnsi="Times New Roman" w:cs="Times New Roman"/>
          <w:color w:val="000000" w:themeColor="text1"/>
          <w:sz w:val="24"/>
          <w:szCs w:val="24"/>
        </w:rPr>
        <w:t xml:space="preserve">2012, </w:t>
      </w:r>
      <w:r w:rsidRPr="00957299">
        <w:rPr>
          <w:rFonts w:ascii="Times New Roman" w:hAnsi="Times New Roman" w:cs="Times New Roman"/>
          <w:color w:val="000000" w:themeColor="text1"/>
          <w:sz w:val="24"/>
          <w:szCs w:val="24"/>
        </w:rPr>
        <w:t xml:space="preserve">2013 </w:t>
      </w:r>
      <w:r w:rsidR="00CC041E">
        <w:rPr>
          <w:rFonts w:ascii="Times New Roman" w:hAnsi="Times New Roman" w:cs="Times New Roman"/>
          <w:color w:val="000000" w:themeColor="text1"/>
          <w:sz w:val="24"/>
          <w:szCs w:val="24"/>
        </w:rPr>
        <w:t xml:space="preserve">ve 2021 </w:t>
      </w:r>
      <w:r w:rsidRPr="00957299">
        <w:rPr>
          <w:rFonts w:ascii="Times New Roman" w:hAnsi="Times New Roman" w:cs="Times New Roman"/>
          <w:color w:val="000000" w:themeColor="text1"/>
          <w:sz w:val="24"/>
          <w:szCs w:val="24"/>
        </w:rPr>
        <w:t>yıl</w:t>
      </w:r>
      <w:r w:rsidR="00B15925" w:rsidRPr="00957299">
        <w:rPr>
          <w:rFonts w:ascii="Times New Roman" w:hAnsi="Times New Roman" w:cs="Times New Roman"/>
          <w:color w:val="000000" w:themeColor="text1"/>
          <w:sz w:val="24"/>
          <w:szCs w:val="24"/>
        </w:rPr>
        <w:t>lar</w:t>
      </w:r>
      <w:r w:rsidRPr="00957299">
        <w:rPr>
          <w:rFonts w:ascii="Times New Roman" w:hAnsi="Times New Roman" w:cs="Times New Roman"/>
          <w:color w:val="000000" w:themeColor="text1"/>
          <w:sz w:val="24"/>
          <w:szCs w:val="24"/>
        </w:rPr>
        <w:t xml:space="preserve">ında </w:t>
      </w:r>
      <w:r w:rsidR="002D30A4">
        <w:rPr>
          <w:rFonts w:ascii="Times New Roman" w:hAnsi="Times New Roman" w:cs="Times New Roman"/>
          <w:color w:val="000000" w:themeColor="text1"/>
          <w:sz w:val="24"/>
          <w:szCs w:val="24"/>
        </w:rPr>
        <w:t xml:space="preserve">30 </w:t>
      </w:r>
      <w:r w:rsidRPr="00957299">
        <w:rPr>
          <w:rFonts w:ascii="Times New Roman" w:hAnsi="Times New Roman" w:cs="Times New Roman"/>
          <w:color w:val="000000" w:themeColor="text1"/>
          <w:sz w:val="24"/>
          <w:szCs w:val="24"/>
        </w:rPr>
        <w:t>milyar dolar</w:t>
      </w:r>
      <w:r w:rsidR="00CC041E">
        <w:rPr>
          <w:rFonts w:ascii="Times New Roman" w:hAnsi="Times New Roman" w:cs="Times New Roman"/>
          <w:color w:val="000000" w:themeColor="text1"/>
          <w:sz w:val="24"/>
          <w:szCs w:val="24"/>
        </w:rPr>
        <w:t>ın üzerin</w:t>
      </w:r>
      <w:r w:rsidR="002D30A4">
        <w:rPr>
          <w:rFonts w:ascii="Times New Roman" w:hAnsi="Times New Roman" w:cs="Times New Roman"/>
          <w:color w:val="000000" w:themeColor="text1"/>
          <w:sz w:val="24"/>
          <w:szCs w:val="24"/>
        </w:rPr>
        <w:t xml:space="preserve">e </w:t>
      </w:r>
      <w:r w:rsidRPr="00957299">
        <w:rPr>
          <w:rFonts w:ascii="Times New Roman" w:hAnsi="Times New Roman" w:cs="Times New Roman"/>
          <w:color w:val="000000" w:themeColor="text1"/>
          <w:sz w:val="24"/>
          <w:szCs w:val="24"/>
        </w:rPr>
        <w:t>yüksel</w:t>
      </w:r>
      <w:r w:rsidR="006F0CB6">
        <w:rPr>
          <w:rFonts w:ascii="Times New Roman" w:hAnsi="Times New Roman" w:cs="Times New Roman"/>
          <w:color w:val="000000" w:themeColor="text1"/>
          <w:sz w:val="24"/>
          <w:szCs w:val="24"/>
        </w:rPr>
        <w:t xml:space="preserve">miştir. </w:t>
      </w:r>
      <w:r w:rsidR="00CC041E">
        <w:rPr>
          <w:rFonts w:ascii="Times New Roman" w:hAnsi="Times New Roman" w:cs="Times New Roman"/>
          <w:color w:val="000000" w:themeColor="text1"/>
          <w:sz w:val="24"/>
          <w:szCs w:val="24"/>
        </w:rPr>
        <w:t xml:space="preserve">Esasen ülkemiz müteahhitlik sektörü, kriz dönemlerinde 15-20 milyar dolarlık büyüklük, yurtdışı gelişmelerin normal seyrettiği dönemlerde de 20-25 milyar dolar bandında bir büyüklük sergilemektedir. </w:t>
      </w:r>
      <w:r w:rsidR="00CC041E" w:rsidRPr="00C61DE0">
        <w:rPr>
          <w:rFonts w:ascii="Times New Roman" w:hAnsi="Times New Roman" w:cs="Times New Roman"/>
          <w:color w:val="000000" w:themeColor="text1"/>
          <w:sz w:val="24"/>
          <w:szCs w:val="24"/>
        </w:rPr>
        <w:t>Nitekim, 202</w:t>
      </w:r>
      <w:r w:rsidR="0072696B">
        <w:rPr>
          <w:rFonts w:ascii="Times New Roman" w:hAnsi="Times New Roman" w:cs="Times New Roman"/>
          <w:color w:val="000000" w:themeColor="text1"/>
          <w:sz w:val="24"/>
          <w:szCs w:val="24"/>
        </w:rPr>
        <w:t>3</w:t>
      </w:r>
      <w:r w:rsidR="00CC041E" w:rsidRPr="00C61DE0">
        <w:rPr>
          <w:rFonts w:ascii="Times New Roman" w:hAnsi="Times New Roman" w:cs="Times New Roman"/>
          <w:color w:val="000000" w:themeColor="text1"/>
          <w:sz w:val="24"/>
          <w:szCs w:val="24"/>
        </w:rPr>
        <w:t xml:space="preserve"> yılında da Rusya-</w:t>
      </w:r>
      <w:r w:rsidR="0028365D" w:rsidRPr="00C61DE0">
        <w:rPr>
          <w:rFonts w:ascii="Times New Roman" w:hAnsi="Times New Roman" w:cs="Times New Roman"/>
          <w:color w:val="000000" w:themeColor="text1"/>
          <w:sz w:val="24"/>
          <w:szCs w:val="24"/>
        </w:rPr>
        <w:t>Ukrayna</w:t>
      </w:r>
      <w:r w:rsidR="0058565E" w:rsidRPr="00C61DE0">
        <w:rPr>
          <w:rFonts w:ascii="Times New Roman" w:hAnsi="Times New Roman" w:cs="Times New Roman"/>
          <w:color w:val="000000" w:themeColor="text1"/>
          <w:sz w:val="24"/>
          <w:szCs w:val="24"/>
        </w:rPr>
        <w:t xml:space="preserve"> </w:t>
      </w:r>
      <w:r w:rsidR="00CC041E" w:rsidRPr="00C61DE0">
        <w:rPr>
          <w:rFonts w:ascii="Times New Roman" w:hAnsi="Times New Roman" w:cs="Times New Roman"/>
          <w:color w:val="000000" w:themeColor="text1"/>
          <w:sz w:val="24"/>
          <w:szCs w:val="24"/>
        </w:rPr>
        <w:t xml:space="preserve">çatışmasının yarattığı olumsuz etkilere ve sektörün en büyük pazarı Rusya’nın savaşan devletlerden birisi olmasına rağmen </w:t>
      </w:r>
      <w:r w:rsidR="00972344">
        <w:rPr>
          <w:rFonts w:ascii="Times New Roman" w:hAnsi="Times New Roman" w:cs="Times New Roman"/>
          <w:color w:val="000000" w:themeColor="text1"/>
          <w:sz w:val="24"/>
          <w:szCs w:val="24"/>
        </w:rPr>
        <w:t>28</w:t>
      </w:r>
      <w:r w:rsidR="0028563A">
        <w:rPr>
          <w:rFonts w:ascii="Times New Roman" w:hAnsi="Times New Roman" w:cs="Times New Roman"/>
          <w:color w:val="000000" w:themeColor="text1"/>
          <w:sz w:val="24"/>
          <w:szCs w:val="24"/>
        </w:rPr>
        <w:t xml:space="preserve"> </w:t>
      </w:r>
      <w:r w:rsidR="00CC041E" w:rsidRPr="00C61DE0">
        <w:rPr>
          <w:rFonts w:ascii="Times New Roman" w:hAnsi="Times New Roman" w:cs="Times New Roman"/>
          <w:color w:val="000000" w:themeColor="text1"/>
          <w:sz w:val="24"/>
          <w:szCs w:val="24"/>
        </w:rPr>
        <w:t xml:space="preserve">milyar dolarlık bir büyüklük ile yıl kapatılmıştır. </w:t>
      </w:r>
      <w:r w:rsidR="00C61DE0" w:rsidRPr="00C61DE0">
        <w:rPr>
          <w:rFonts w:ascii="Times New Roman" w:hAnsi="Times New Roman" w:cs="Times New Roman"/>
          <w:color w:val="000000" w:themeColor="text1"/>
          <w:sz w:val="24"/>
          <w:szCs w:val="24"/>
        </w:rPr>
        <w:t>Proje sayısı ise 2017 yılından bu yana yıllık 300-500 proje arasında değişmektedir.</w:t>
      </w:r>
      <w:r w:rsidR="00C61DE0">
        <w:rPr>
          <w:rFonts w:ascii="Times New Roman" w:hAnsi="Times New Roman" w:cs="Times New Roman"/>
          <w:color w:val="000000" w:themeColor="text1"/>
          <w:sz w:val="24"/>
          <w:szCs w:val="24"/>
        </w:rPr>
        <w:t xml:space="preserve"> </w:t>
      </w:r>
    </w:p>
    <w:p w:rsidR="00FD57E7" w:rsidRPr="00957299" w:rsidRDefault="00FD57E7" w:rsidP="00002AE9">
      <w:pPr>
        <w:spacing w:after="200" w:line="276"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Gelişim sadece nicelik olarak değil, nite</w:t>
      </w:r>
      <w:r w:rsidR="00D67623" w:rsidRPr="00957299">
        <w:rPr>
          <w:rFonts w:ascii="Times New Roman" w:hAnsi="Times New Roman" w:cs="Times New Roman"/>
          <w:color w:val="000000" w:themeColor="text1"/>
          <w:sz w:val="24"/>
          <w:szCs w:val="24"/>
        </w:rPr>
        <w:t xml:space="preserve">lik açısından da olmuştur. </w:t>
      </w:r>
      <w:r w:rsidR="004E7B1A">
        <w:rPr>
          <w:rFonts w:ascii="Times New Roman" w:hAnsi="Times New Roman" w:cs="Times New Roman"/>
          <w:color w:val="000000" w:themeColor="text1"/>
          <w:sz w:val="24"/>
          <w:szCs w:val="24"/>
        </w:rPr>
        <w:t>Yurt</w:t>
      </w:r>
      <w:r w:rsidR="006F0CB6">
        <w:rPr>
          <w:rFonts w:ascii="Times New Roman" w:hAnsi="Times New Roman" w:cs="Times New Roman"/>
          <w:color w:val="000000" w:themeColor="text1"/>
          <w:sz w:val="24"/>
          <w:szCs w:val="24"/>
        </w:rPr>
        <w:t xml:space="preserve"> </w:t>
      </w:r>
      <w:r w:rsidR="004E7B1A">
        <w:rPr>
          <w:rFonts w:ascii="Times New Roman" w:hAnsi="Times New Roman" w:cs="Times New Roman"/>
          <w:color w:val="000000" w:themeColor="text1"/>
          <w:sz w:val="24"/>
          <w:szCs w:val="24"/>
        </w:rPr>
        <w:t>dışında</w:t>
      </w:r>
      <w:r w:rsidRPr="00957299">
        <w:rPr>
          <w:rFonts w:ascii="Times New Roman" w:hAnsi="Times New Roman" w:cs="Times New Roman"/>
          <w:color w:val="000000" w:themeColor="text1"/>
          <w:sz w:val="24"/>
          <w:szCs w:val="24"/>
        </w:rPr>
        <w:t xml:space="preserve"> üstlenilen proje</w:t>
      </w:r>
      <w:r w:rsidR="00D67623" w:rsidRPr="00957299">
        <w:rPr>
          <w:rFonts w:ascii="Times New Roman" w:hAnsi="Times New Roman" w:cs="Times New Roman"/>
          <w:color w:val="000000" w:themeColor="text1"/>
          <w:sz w:val="24"/>
          <w:szCs w:val="24"/>
        </w:rPr>
        <w:t>lerin</w:t>
      </w:r>
      <w:r w:rsidRPr="00957299">
        <w:rPr>
          <w:rFonts w:ascii="Times New Roman" w:hAnsi="Times New Roman" w:cs="Times New Roman"/>
          <w:color w:val="000000" w:themeColor="text1"/>
          <w:sz w:val="24"/>
          <w:szCs w:val="24"/>
        </w:rPr>
        <w:t xml:space="preserve"> </w:t>
      </w:r>
      <w:r w:rsidR="00D67623" w:rsidRPr="00957299">
        <w:rPr>
          <w:rFonts w:ascii="Times New Roman" w:hAnsi="Times New Roman" w:cs="Times New Roman"/>
          <w:color w:val="000000" w:themeColor="text1"/>
          <w:sz w:val="24"/>
          <w:szCs w:val="24"/>
        </w:rPr>
        <w:t xml:space="preserve">ortalama bedeli </w:t>
      </w:r>
      <w:r w:rsidRPr="00957299">
        <w:rPr>
          <w:rFonts w:ascii="Times New Roman" w:hAnsi="Times New Roman" w:cs="Times New Roman"/>
          <w:color w:val="000000" w:themeColor="text1"/>
          <w:sz w:val="24"/>
          <w:szCs w:val="24"/>
        </w:rPr>
        <w:t xml:space="preserve">2002 yılında yaklaşık </w:t>
      </w:r>
      <w:r w:rsidR="001E3B87">
        <w:rPr>
          <w:rFonts w:ascii="Times New Roman" w:hAnsi="Times New Roman" w:cs="Times New Roman"/>
          <w:color w:val="000000" w:themeColor="text1"/>
          <w:sz w:val="24"/>
          <w:szCs w:val="24"/>
        </w:rPr>
        <w:t>21</w:t>
      </w:r>
      <w:r w:rsidR="00FD6CCF" w:rsidRPr="00957299">
        <w:rPr>
          <w:rFonts w:ascii="Times New Roman" w:hAnsi="Times New Roman" w:cs="Times New Roman"/>
          <w:color w:val="000000" w:themeColor="text1"/>
          <w:sz w:val="24"/>
          <w:szCs w:val="24"/>
        </w:rPr>
        <w:t>,</w:t>
      </w:r>
      <w:r w:rsidR="001E3B87">
        <w:rPr>
          <w:rFonts w:ascii="Times New Roman" w:hAnsi="Times New Roman" w:cs="Times New Roman"/>
          <w:color w:val="000000" w:themeColor="text1"/>
          <w:sz w:val="24"/>
          <w:szCs w:val="24"/>
        </w:rPr>
        <w:t>2</w:t>
      </w:r>
      <w:r w:rsidRPr="00957299">
        <w:rPr>
          <w:rFonts w:ascii="Times New Roman" w:hAnsi="Times New Roman" w:cs="Times New Roman"/>
          <w:color w:val="000000" w:themeColor="text1"/>
          <w:sz w:val="24"/>
          <w:szCs w:val="24"/>
        </w:rPr>
        <w:t xml:space="preserve"> mil</w:t>
      </w:r>
      <w:r w:rsidR="0031505D" w:rsidRPr="00957299">
        <w:rPr>
          <w:rFonts w:ascii="Times New Roman" w:hAnsi="Times New Roman" w:cs="Times New Roman"/>
          <w:color w:val="000000" w:themeColor="text1"/>
          <w:sz w:val="24"/>
          <w:szCs w:val="24"/>
        </w:rPr>
        <w:t>yon dolar iken</w:t>
      </w:r>
      <w:r w:rsidR="00FA3E1F" w:rsidRPr="00957299">
        <w:rPr>
          <w:rFonts w:ascii="Times New Roman" w:hAnsi="Times New Roman" w:cs="Times New Roman"/>
          <w:color w:val="000000" w:themeColor="text1"/>
          <w:sz w:val="24"/>
          <w:szCs w:val="24"/>
        </w:rPr>
        <w:t xml:space="preserve">, </w:t>
      </w:r>
      <w:r w:rsidR="00F432ED" w:rsidRPr="00957299">
        <w:rPr>
          <w:rFonts w:ascii="Times New Roman" w:hAnsi="Times New Roman" w:cs="Times New Roman"/>
          <w:color w:val="000000" w:themeColor="text1"/>
          <w:sz w:val="24"/>
          <w:szCs w:val="24"/>
        </w:rPr>
        <w:t xml:space="preserve">2015 yılında </w:t>
      </w:r>
      <w:r w:rsidR="00757E52">
        <w:rPr>
          <w:rFonts w:ascii="Times New Roman" w:hAnsi="Times New Roman" w:cs="Times New Roman"/>
          <w:color w:val="000000" w:themeColor="text1"/>
          <w:sz w:val="24"/>
          <w:szCs w:val="24"/>
        </w:rPr>
        <w:t xml:space="preserve">rekor seviyede </w:t>
      </w:r>
      <w:r w:rsidR="00EA55A4" w:rsidRPr="00957299">
        <w:rPr>
          <w:rFonts w:ascii="Times New Roman" w:hAnsi="Times New Roman" w:cs="Times New Roman"/>
          <w:color w:val="000000" w:themeColor="text1"/>
          <w:sz w:val="24"/>
          <w:szCs w:val="24"/>
        </w:rPr>
        <w:t>8</w:t>
      </w:r>
      <w:r w:rsidR="00E71CBB">
        <w:rPr>
          <w:rFonts w:ascii="Times New Roman" w:hAnsi="Times New Roman" w:cs="Times New Roman"/>
          <w:color w:val="000000" w:themeColor="text1"/>
          <w:sz w:val="24"/>
          <w:szCs w:val="24"/>
        </w:rPr>
        <w:t>4</w:t>
      </w:r>
      <w:r w:rsidR="0031505D" w:rsidRPr="00957299">
        <w:rPr>
          <w:rFonts w:ascii="Times New Roman" w:hAnsi="Times New Roman" w:cs="Times New Roman"/>
          <w:color w:val="000000" w:themeColor="text1"/>
          <w:sz w:val="24"/>
          <w:szCs w:val="24"/>
        </w:rPr>
        <w:t xml:space="preserve"> </w:t>
      </w:r>
      <w:r w:rsidR="00757E52">
        <w:rPr>
          <w:rFonts w:ascii="Times New Roman" w:hAnsi="Times New Roman" w:cs="Times New Roman"/>
          <w:color w:val="000000" w:themeColor="text1"/>
          <w:sz w:val="24"/>
          <w:szCs w:val="24"/>
        </w:rPr>
        <w:t xml:space="preserve">milyon dolar olmuştur. </w:t>
      </w:r>
      <w:r w:rsidR="00002AE9" w:rsidRPr="00957299">
        <w:rPr>
          <w:rFonts w:ascii="Times New Roman" w:hAnsi="Times New Roman" w:cs="Times New Roman"/>
          <w:color w:val="000000" w:themeColor="text1"/>
          <w:sz w:val="24"/>
          <w:szCs w:val="24"/>
        </w:rPr>
        <w:t xml:space="preserve">Ortalama proje bedelinde </w:t>
      </w:r>
      <w:r w:rsidR="00757E52">
        <w:rPr>
          <w:rFonts w:ascii="Times New Roman" w:hAnsi="Times New Roman" w:cs="Times New Roman"/>
          <w:color w:val="000000" w:themeColor="text1"/>
          <w:sz w:val="24"/>
          <w:szCs w:val="24"/>
        </w:rPr>
        <w:t xml:space="preserve">görülen </w:t>
      </w:r>
      <w:r w:rsidR="00002AE9" w:rsidRPr="00957299">
        <w:rPr>
          <w:rFonts w:ascii="Times New Roman" w:hAnsi="Times New Roman" w:cs="Times New Roman"/>
          <w:color w:val="000000" w:themeColor="text1"/>
          <w:sz w:val="24"/>
          <w:szCs w:val="24"/>
        </w:rPr>
        <w:t xml:space="preserve">son </w:t>
      </w:r>
      <w:r w:rsidR="00630EBF">
        <w:rPr>
          <w:rFonts w:ascii="Times New Roman" w:hAnsi="Times New Roman" w:cs="Times New Roman"/>
          <w:color w:val="000000" w:themeColor="text1"/>
          <w:sz w:val="24"/>
          <w:szCs w:val="24"/>
        </w:rPr>
        <w:t>20</w:t>
      </w:r>
      <w:r w:rsidR="00002AE9" w:rsidRPr="00957299">
        <w:rPr>
          <w:rFonts w:ascii="Times New Roman" w:hAnsi="Times New Roman" w:cs="Times New Roman"/>
          <w:color w:val="000000" w:themeColor="text1"/>
          <w:sz w:val="24"/>
          <w:szCs w:val="24"/>
        </w:rPr>
        <w:t xml:space="preserve"> yıllık dönemde</w:t>
      </w:r>
      <w:r w:rsidR="00757E52">
        <w:rPr>
          <w:rFonts w:ascii="Times New Roman" w:hAnsi="Times New Roman" w:cs="Times New Roman"/>
          <w:color w:val="000000" w:themeColor="text1"/>
          <w:sz w:val="24"/>
          <w:szCs w:val="24"/>
        </w:rPr>
        <w:t>ki</w:t>
      </w:r>
      <w:r w:rsidR="00002AE9" w:rsidRPr="00957299">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artış, müteahhitlerimizin havalimanı, metro, endüstriyel tesisler, doğalgaz-petrol rafinerileri, otoyol ve enerji santralleri gibi büyük ölçekli ve katma değeri daha yüksek projeleri üstlenmelerinden kaynaklanmaktadır.</w:t>
      </w:r>
      <w:r w:rsidR="00002AE9" w:rsidRPr="00957299">
        <w:rPr>
          <w:rFonts w:ascii="Times New Roman" w:hAnsi="Times New Roman" w:cs="Times New Roman"/>
          <w:color w:val="000000" w:themeColor="text1"/>
          <w:sz w:val="24"/>
          <w:szCs w:val="24"/>
        </w:rPr>
        <w:t xml:space="preserve"> Bununla birlikte, </w:t>
      </w:r>
      <w:r w:rsidR="00757E52">
        <w:rPr>
          <w:rFonts w:ascii="Times New Roman" w:hAnsi="Times New Roman" w:cs="Times New Roman"/>
          <w:color w:val="000000" w:themeColor="text1"/>
          <w:sz w:val="24"/>
          <w:szCs w:val="24"/>
        </w:rPr>
        <w:t xml:space="preserve">ortalama proje bedelinin düşük seyrettiği yıllarda </w:t>
      </w:r>
      <w:r w:rsidR="00C66D58">
        <w:rPr>
          <w:rFonts w:ascii="Times New Roman" w:hAnsi="Times New Roman" w:cs="Times New Roman"/>
          <w:color w:val="000000" w:themeColor="text1"/>
          <w:sz w:val="24"/>
          <w:szCs w:val="24"/>
        </w:rPr>
        <w:t xml:space="preserve">düşüşün nedeni, </w:t>
      </w:r>
      <w:r w:rsidR="00002AE9" w:rsidRPr="00957299">
        <w:rPr>
          <w:rFonts w:ascii="Times New Roman" w:hAnsi="Times New Roman" w:cs="Times New Roman"/>
          <w:color w:val="000000" w:themeColor="text1"/>
          <w:sz w:val="24"/>
          <w:szCs w:val="24"/>
        </w:rPr>
        <w:t>firmalarımızın kriz döneminde küçük projeler dahil her türlü projeyi gerçekleştirmeye çal</w:t>
      </w:r>
      <w:r w:rsidR="00E64F62">
        <w:rPr>
          <w:rFonts w:ascii="Times New Roman" w:hAnsi="Times New Roman" w:cs="Times New Roman"/>
          <w:color w:val="000000" w:themeColor="text1"/>
          <w:sz w:val="24"/>
          <w:szCs w:val="24"/>
        </w:rPr>
        <w:t>ışmalarından kaynaklanmaktadır.</w:t>
      </w:r>
    </w:p>
    <w:p w:rsidR="00935926" w:rsidRPr="007A1346" w:rsidRDefault="00935926" w:rsidP="00002AE9">
      <w:pPr>
        <w:spacing w:after="200" w:line="276" w:lineRule="auto"/>
        <w:jc w:val="both"/>
        <w:rPr>
          <w:rFonts w:ascii="Times New Roman" w:hAnsi="Times New Roman" w:cs="Times New Roman"/>
          <w:b/>
          <w:sz w:val="24"/>
          <w:szCs w:val="24"/>
        </w:rPr>
      </w:pPr>
      <w:r w:rsidRPr="007A1346">
        <w:rPr>
          <w:rFonts w:ascii="Times New Roman" w:hAnsi="Times New Roman" w:cs="Times New Roman"/>
          <w:sz w:val="24"/>
          <w:szCs w:val="24"/>
        </w:rPr>
        <w:lastRenderedPageBreak/>
        <w:t>ENR Dergisi</w:t>
      </w:r>
      <w:r w:rsidR="00D40677">
        <w:rPr>
          <w:rFonts w:ascii="Times New Roman" w:hAnsi="Times New Roman" w:cs="Times New Roman"/>
          <w:sz w:val="24"/>
          <w:szCs w:val="24"/>
        </w:rPr>
        <w:t>’</w:t>
      </w:r>
      <w:r w:rsidRPr="007A1346">
        <w:rPr>
          <w:rFonts w:ascii="Times New Roman" w:hAnsi="Times New Roman" w:cs="Times New Roman"/>
          <w:sz w:val="24"/>
          <w:szCs w:val="24"/>
        </w:rPr>
        <w:t xml:space="preserve">nin, </w:t>
      </w:r>
      <w:r w:rsidR="00D40677">
        <w:rPr>
          <w:rFonts w:ascii="Times New Roman" w:hAnsi="Times New Roman" w:cs="Times New Roman"/>
          <w:sz w:val="24"/>
          <w:szCs w:val="24"/>
        </w:rPr>
        <w:t xml:space="preserve">geçtiğimiz </w:t>
      </w:r>
      <w:r w:rsidRPr="007A1346">
        <w:rPr>
          <w:rFonts w:ascii="Times New Roman" w:hAnsi="Times New Roman" w:cs="Times New Roman"/>
          <w:sz w:val="24"/>
          <w:szCs w:val="24"/>
        </w:rPr>
        <w:t>bir yıl içerisinde üstlenilen uluslararası projelerin toplam bedeli üzerinden her yıl belirlediği dünyanın en büyük 2</w:t>
      </w:r>
      <w:r w:rsidR="00F36D81" w:rsidRPr="007A1346">
        <w:rPr>
          <w:rFonts w:ascii="Times New Roman" w:hAnsi="Times New Roman" w:cs="Times New Roman"/>
          <w:sz w:val="24"/>
          <w:szCs w:val="24"/>
        </w:rPr>
        <w:t>50</w:t>
      </w:r>
      <w:r w:rsidRPr="007A1346">
        <w:rPr>
          <w:rFonts w:ascii="Times New Roman" w:hAnsi="Times New Roman" w:cs="Times New Roman"/>
          <w:sz w:val="24"/>
          <w:szCs w:val="24"/>
        </w:rPr>
        <w:t xml:space="preserve"> müteahhitlik firmasını gösteren liste</w:t>
      </w:r>
      <w:r w:rsidR="00A23529">
        <w:rPr>
          <w:rFonts w:ascii="Times New Roman" w:hAnsi="Times New Roman" w:cs="Times New Roman"/>
          <w:sz w:val="24"/>
          <w:szCs w:val="24"/>
        </w:rPr>
        <w:t>de Türki</w:t>
      </w:r>
      <w:r w:rsidR="00D40677">
        <w:rPr>
          <w:rFonts w:ascii="Times New Roman" w:hAnsi="Times New Roman" w:cs="Times New Roman"/>
          <w:sz w:val="24"/>
          <w:szCs w:val="24"/>
        </w:rPr>
        <w:t xml:space="preserve">ye, </w:t>
      </w:r>
      <w:r w:rsidR="00A23529">
        <w:rPr>
          <w:rFonts w:ascii="Times New Roman" w:hAnsi="Times New Roman" w:cs="Times New Roman"/>
          <w:sz w:val="24"/>
          <w:szCs w:val="24"/>
        </w:rPr>
        <w:t>2003 yılında sadece 8</w:t>
      </w:r>
      <w:r w:rsidRPr="007A1346">
        <w:rPr>
          <w:rFonts w:ascii="Times New Roman" w:hAnsi="Times New Roman" w:cs="Times New Roman"/>
          <w:sz w:val="24"/>
          <w:szCs w:val="24"/>
        </w:rPr>
        <w:t xml:space="preserve"> müteahhit</w:t>
      </w:r>
      <w:r w:rsidR="003076DB">
        <w:rPr>
          <w:rFonts w:ascii="Times New Roman" w:hAnsi="Times New Roman" w:cs="Times New Roman"/>
          <w:sz w:val="24"/>
          <w:szCs w:val="24"/>
        </w:rPr>
        <w:t>l</w:t>
      </w:r>
      <w:r w:rsidR="008C254A">
        <w:rPr>
          <w:rFonts w:ascii="Times New Roman" w:hAnsi="Times New Roman" w:cs="Times New Roman"/>
          <w:sz w:val="24"/>
          <w:szCs w:val="24"/>
        </w:rPr>
        <w:t>ik firması ile yer alırken, 202</w:t>
      </w:r>
      <w:r w:rsidR="006673F5">
        <w:rPr>
          <w:rFonts w:ascii="Times New Roman" w:hAnsi="Times New Roman" w:cs="Times New Roman"/>
          <w:sz w:val="24"/>
          <w:szCs w:val="24"/>
        </w:rPr>
        <w:t>4</w:t>
      </w:r>
      <w:r w:rsidRPr="007A1346">
        <w:rPr>
          <w:rFonts w:ascii="Times New Roman" w:hAnsi="Times New Roman" w:cs="Times New Roman"/>
          <w:sz w:val="24"/>
          <w:szCs w:val="24"/>
        </w:rPr>
        <w:t xml:space="preserve"> yılında 4</w:t>
      </w:r>
      <w:r w:rsidR="006673F5">
        <w:rPr>
          <w:rFonts w:ascii="Times New Roman" w:hAnsi="Times New Roman" w:cs="Times New Roman"/>
          <w:sz w:val="24"/>
          <w:szCs w:val="24"/>
        </w:rPr>
        <w:t>3</w:t>
      </w:r>
      <w:r w:rsidR="00D40677">
        <w:rPr>
          <w:rFonts w:ascii="Times New Roman" w:hAnsi="Times New Roman" w:cs="Times New Roman"/>
          <w:sz w:val="24"/>
          <w:szCs w:val="24"/>
        </w:rPr>
        <w:t xml:space="preserve"> firması </w:t>
      </w:r>
      <w:r w:rsidRPr="007A1346">
        <w:rPr>
          <w:rFonts w:ascii="Times New Roman" w:hAnsi="Times New Roman" w:cs="Times New Roman"/>
          <w:sz w:val="24"/>
          <w:szCs w:val="24"/>
        </w:rPr>
        <w:t>listeye girmeyi başarmıştır.</w:t>
      </w:r>
      <w:r w:rsidR="00D40677">
        <w:rPr>
          <w:rFonts w:ascii="Times New Roman" w:hAnsi="Times New Roman" w:cs="Times New Roman"/>
          <w:sz w:val="24"/>
          <w:szCs w:val="24"/>
        </w:rPr>
        <w:t xml:space="preserve"> 2017-2018 yıllarındaki 46 firma bu konudaki ülkemiz rekorudur. </w:t>
      </w:r>
    </w:p>
    <w:p w:rsidR="001C1548" w:rsidRDefault="00D40677" w:rsidP="008B2F98">
      <w:pPr>
        <w:spacing w:after="200" w:line="276" w:lineRule="auto"/>
        <w:ind w:right="-2"/>
        <w:jc w:val="both"/>
        <w:rPr>
          <w:rFonts w:ascii="Times New Roman" w:hAnsi="Times New Roman" w:cs="Times New Roman"/>
          <w:sz w:val="24"/>
          <w:szCs w:val="24"/>
        </w:rPr>
      </w:pPr>
      <w:r>
        <w:rPr>
          <w:rFonts w:ascii="Times New Roman" w:hAnsi="Times New Roman" w:cs="Times New Roman"/>
          <w:sz w:val="24"/>
          <w:szCs w:val="24"/>
        </w:rPr>
        <w:t>Derginin 20</w:t>
      </w:r>
      <w:r w:rsidR="003076DB">
        <w:rPr>
          <w:rFonts w:ascii="Times New Roman" w:hAnsi="Times New Roman" w:cs="Times New Roman"/>
          <w:sz w:val="24"/>
          <w:szCs w:val="24"/>
        </w:rPr>
        <w:t>2</w:t>
      </w:r>
      <w:r w:rsidR="006673F5">
        <w:rPr>
          <w:rFonts w:ascii="Times New Roman" w:hAnsi="Times New Roman" w:cs="Times New Roman"/>
          <w:sz w:val="24"/>
          <w:szCs w:val="24"/>
        </w:rPr>
        <w:t>4</w:t>
      </w:r>
      <w:r>
        <w:rPr>
          <w:rFonts w:ascii="Times New Roman" w:hAnsi="Times New Roman" w:cs="Times New Roman"/>
          <w:sz w:val="24"/>
          <w:szCs w:val="24"/>
        </w:rPr>
        <w:t xml:space="preserve"> yılı sayısında yer alan b</w:t>
      </w:r>
      <w:r w:rsidR="001C1548" w:rsidRPr="007A1346">
        <w:rPr>
          <w:rFonts w:ascii="Times New Roman" w:hAnsi="Times New Roman" w:cs="Times New Roman"/>
          <w:sz w:val="24"/>
          <w:szCs w:val="24"/>
        </w:rPr>
        <w:t>u firmalardan</w:t>
      </w:r>
      <w:r w:rsidR="008B2F98">
        <w:rPr>
          <w:rFonts w:ascii="Times New Roman" w:hAnsi="Times New Roman" w:cs="Times New Roman"/>
          <w:sz w:val="24"/>
          <w:szCs w:val="24"/>
        </w:rPr>
        <w:t xml:space="preserve"> </w:t>
      </w:r>
      <w:r w:rsidR="0079258D">
        <w:rPr>
          <w:rFonts w:ascii="Times New Roman" w:hAnsi="Times New Roman" w:cs="Times New Roman"/>
          <w:sz w:val="24"/>
          <w:szCs w:val="24"/>
        </w:rPr>
        <w:t>6’sı</w:t>
      </w:r>
      <w:r w:rsidR="008C254A">
        <w:rPr>
          <w:rFonts w:ascii="Times New Roman" w:hAnsi="Times New Roman" w:cs="Times New Roman"/>
          <w:sz w:val="24"/>
          <w:szCs w:val="24"/>
        </w:rPr>
        <w:t xml:space="preserve"> </w:t>
      </w:r>
      <w:proofErr w:type="spellStart"/>
      <w:r w:rsidR="008C254A">
        <w:rPr>
          <w:rFonts w:ascii="Times New Roman" w:hAnsi="Times New Roman" w:cs="Times New Roman"/>
          <w:sz w:val="24"/>
          <w:szCs w:val="24"/>
        </w:rPr>
        <w:t>söz</w:t>
      </w:r>
      <w:r w:rsidR="001C1548" w:rsidRPr="007A1346">
        <w:rPr>
          <w:rFonts w:ascii="Times New Roman" w:hAnsi="Times New Roman" w:cs="Times New Roman"/>
          <w:sz w:val="24"/>
          <w:szCs w:val="24"/>
        </w:rPr>
        <w:t>konusu</w:t>
      </w:r>
      <w:proofErr w:type="spellEnd"/>
      <w:r w:rsidR="001C1548" w:rsidRPr="007A1346">
        <w:rPr>
          <w:rFonts w:ascii="Times New Roman" w:hAnsi="Times New Roman" w:cs="Times New Roman"/>
          <w:sz w:val="24"/>
          <w:szCs w:val="24"/>
        </w:rPr>
        <w:t xml:space="preserve"> listede ilk 100 firma arasında yer al</w:t>
      </w:r>
      <w:r w:rsidR="00483C50" w:rsidRPr="007A1346">
        <w:rPr>
          <w:rFonts w:ascii="Times New Roman" w:hAnsi="Times New Roman" w:cs="Times New Roman"/>
          <w:sz w:val="24"/>
          <w:szCs w:val="24"/>
        </w:rPr>
        <w:t>ırken,</w:t>
      </w:r>
      <w:r w:rsidR="00E86143" w:rsidRPr="007A1346">
        <w:rPr>
          <w:rFonts w:ascii="Times New Roman" w:hAnsi="Times New Roman" w:cs="Times New Roman"/>
          <w:sz w:val="24"/>
          <w:szCs w:val="24"/>
        </w:rPr>
        <w:t xml:space="preserve"> </w:t>
      </w:r>
      <w:r w:rsidR="00FC4192">
        <w:rPr>
          <w:rFonts w:ascii="Times New Roman" w:hAnsi="Times New Roman" w:cs="Times New Roman"/>
          <w:sz w:val="24"/>
          <w:szCs w:val="24"/>
        </w:rPr>
        <w:t>1</w:t>
      </w:r>
      <w:r w:rsidR="00E86143" w:rsidRPr="007A1346">
        <w:rPr>
          <w:rFonts w:ascii="Times New Roman" w:hAnsi="Times New Roman" w:cs="Times New Roman"/>
          <w:sz w:val="24"/>
          <w:szCs w:val="24"/>
        </w:rPr>
        <w:t xml:space="preserve"> Türk firması </w:t>
      </w:r>
      <w:r w:rsidR="00450361" w:rsidRPr="007A1346">
        <w:rPr>
          <w:rFonts w:ascii="Times New Roman" w:hAnsi="Times New Roman" w:cs="Times New Roman"/>
          <w:sz w:val="24"/>
          <w:szCs w:val="24"/>
        </w:rPr>
        <w:t>ise</w:t>
      </w:r>
      <w:r w:rsidR="00EC38A9">
        <w:rPr>
          <w:rFonts w:ascii="Times New Roman" w:hAnsi="Times New Roman" w:cs="Times New Roman"/>
          <w:sz w:val="24"/>
          <w:szCs w:val="24"/>
        </w:rPr>
        <w:t xml:space="preserve"> </w:t>
      </w:r>
      <w:r w:rsidR="008C254A">
        <w:rPr>
          <w:rFonts w:ascii="Times New Roman" w:hAnsi="Times New Roman" w:cs="Times New Roman"/>
          <w:sz w:val="24"/>
          <w:szCs w:val="24"/>
        </w:rPr>
        <w:t xml:space="preserve">ilk </w:t>
      </w:r>
      <w:r w:rsidR="00DE5444">
        <w:rPr>
          <w:rFonts w:ascii="Times New Roman" w:hAnsi="Times New Roman" w:cs="Times New Roman"/>
          <w:sz w:val="24"/>
          <w:szCs w:val="24"/>
        </w:rPr>
        <w:t>5</w:t>
      </w:r>
      <w:r w:rsidR="008C254A">
        <w:rPr>
          <w:rFonts w:ascii="Times New Roman" w:hAnsi="Times New Roman" w:cs="Times New Roman"/>
          <w:sz w:val="24"/>
          <w:szCs w:val="24"/>
        </w:rPr>
        <w:t>0</w:t>
      </w:r>
      <w:r w:rsidR="00483C50" w:rsidRPr="007A1346">
        <w:rPr>
          <w:rFonts w:ascii="Times New Roman" w:hAnsi="Times New Roman" w:cs="Times New Roman"/>
          <w:sz w:val="24"/>
          <w:szCs w:val="24"/>
        </w:rPr>
        <w:t xml:space="preserve"> firma </w:t>
      </w:r>
      <w:r w:rsidR="00E86143" w:rsidRPr="007A1346">
        <w:rPr>
          <w:rFonts w:ascii="Times New Roman" w:hAnsi="Times New Roman" w:cs="Times New Roman"/>
          <w:sz w:val="24"/>
          <w:szCs w:val="24"/>
        </w:rPr>
        <w:t>arasında yer bulmuştur</w:t>
      </w:r>
      <w:r w:rsidR="001C1548" w:rsidRPr="007A1346">
        <w:rPr>
          <w:rFonts w:ascii="Times New Roman" w:hAnsi="Times New Roman" w:cs="Times New Roman"/>
          <w:sz w:val="24"/>
          <w:szCs w:val="24"/>
        </w:rPr>
        <w:t xml:space="preserve">. Türkiye listede firma sayısı itibariyle </w:t>
      </w:r>
      <w:r w:rsidR="001C1548" w:rsidRPr="007A1346">
        <w:rPr>
          <w:rFonts w:ascii="Times New Roman" w:hAnsi="Times New Roman" w:cs="Times New Roman"/>
          <w:b/>
          <w:sz w:val="24"/>
          <w:szCs w:val="24"/>
        </w:rPr>
        <w:t>Çin</w:t>
      </w:r>
      <w:r w:rsidR="00DE5444">
        <w:rPr>
          <w:rFonts w:ascii="Times New Roman" w:hAnsi="Times New Roman" w:cs="Times New Roman"/>
          <w:b/>
          <w:sz w:val="24"/>
          <w:szCs w:val="24"/>
        </w:rPr>
        <w:t>’den</w:t>
      </w:r>
      <w:r w:rsidR="005102EE">
        <w:rPr>
          <w:rFonts w:ascii="Times New Roman" w:hAnsi="Times New Roman" w:cs="Times New Roman"/>
          <w:b/>
          <w:sz w:val="24"/>
          <w:szCs w:val="24"/>
        </w:rPr>
        <w:t xml:space="preserve"> sonra </w:t>
      </w:r>
      <w:r w:rsidR="00DE5444">
        <w:rPr>
          <w:rFonts w:ascii="Times New Roman" w:hAnsi="Times New Roman" w:cs="Times New Roman"/>
          <w:b/>
          <w:sz w:val="24"/>
          <w:szCs w:val="24"/>
        </w:rPr>
        <w:t>2</w:t>
      </w:r>
      <w:r w:rsidR="001C1548" w:rsidRPr="007A1346">
        <w:rPr>
          <w:rFonts w:ascii="Times New Roman" w:hAnsi="Times New Roman" w:cs="Times New Roman"/>
          <w:b/>
          <w:sz w:val="24"/>
          <w:szCs w:val="24"/>
        </w:rPr>
        <w:t>. sırada</w:t>
      </w:r>
      <w:r w:rsidR="00DC4FCB" w:rsidRPr="007A1346">
        <w:rPr>
          <w:rFonts w:ascii="Times New Roman" w:hAnsi="Times New Roman" w:cs="Times New Roman"/>
          <w:sz w:val="24"/>
          <w:szCs w:val="24"/>
        </w:rPr>
        <w:t xml:space="preserve"> </w:t>
      </w:r>
      <w:r w:rsidR="006F0CB6">
        <w:rPr>
          <w:rFonts w:ascii="Times New Roman" w:hAnsi="Times New Roman" w:cs="Times New Roman"/>
          <w:sz w:val="24"/>
          <w:szCs w:val="24"/>
        </w:rPr>
        <w:t xml:space="preserve">yer almaktadır. Bu durum yurt </w:t>
      </w:r>
      <w:r w:rsidR="001C1548" w:rsidRPr="007A1346">
        <w:rPr>
          <w:rFonts w:ascii="Times New Roman" w:hAnsi="Times New Roman" w:cs="Times New Roman"/>
          <w:sz w:val="24"/>
          <w:szCs w:val="24"/>
        </w:rPr>
        <w:t>dışında faaliyet gösteren müteahhitlik firmalarımızın süratle büyüdüklerinin bir gösterg</w:t>
      </w:r>
      <w:r w:rsidR="00483C50" w:rsidRPr="007A1346">
        <w:rPr>
          <w:rFonts w:ascii="Times New Roman" w:hAnsi="Times New Roman" w:cs="Times New Roman"/>
          <w:sz w:val="24"/>
          <w:szCs w:val="24"/>
        </w:rPr>
        <w:t>esidir.</w:t>
      </w:r>
    </w:p>
    <w:tbl>
      <w:tblPr>
        <w:tblStyle w:val="TabloKlavuzu"/>
        <w:tblW w:w="9923" w:type="dxa"/>
        <w:jc w:val="center"/>
        <w:tblLook w:val="04A0" w:firstRow="1" w:lastRow="0" w:firstColumn="1" w:lastColumn="0" w:noHBand="0" w:noVBand="1"/>
      </w:tblPr>
      <w:tblGrid>
        <w:gridCol w:w="856"/>
        <w:gridCol w:w="696"/>
        <w:gridCol w:w="721"/>
        <w:gridCol w:w="709"/>
        <w:gridCol w:w="709"/>
        <w:gridCol w:w="708"/>
        <w:gridCol w:w="709"/>
        <w:gridCol w:w="709"/>
        <w:gridCol w:w="709"/>
        <w:gridCol w:w="714"/>
        <w:gridCol w:w="696"/>
        <w:gridCol w:w="698"/>
        <w:gridCol w:w="709"/>
        <w:gridCol w:w="696"/>
      </w:tblGrid>
      <w:tr w:rsidR="005D0B91" w:rsidRPr="005D0B91" w:rsidTr="005D0B91">
        <w:trPr>
          <w:trHeight w:val="300"/>
          <w:jc w:val="center"/>
        </w:trPr>
        <w:tc>
          <w:tcPr>
            <w:tcW w:w="9923" w:type="dxa"/>
            <w:gridSpan w:val="14"/>
            <w:noWrap/>
            <w:hideMark/>
          </w:tcPr>
          <w:p w:rsidR="005D0B91" w:rsidRPr="00F6006A" w:rsidRDefault="005D0B91" w:rsidP="00F6006A">
            <w:pPr>
              <w:spacing w:after="200" w:line="276" w:lineRule="auto"/>
              <w:ind w:right="-2"/>
              <w:jc w:val="center"/>
              <w:rPr>
                <w:rFonts w:ascii="Times New Roman" w:hAnsi="Times New Roman" w:cs="Times New Roman"/>
                <w:b/>
                <w:sz w:val="24"/>
                <w:szCs w:val="24"/>
              </w:rPr>
            </w:pPr>
            <w:r w:rsidRPr="00F6006A">
              <w:rPr>
                <w:rFonts w:ascii="Times New Roman" w:hAnsi="Times New Roman" w:cs="Times New Roman"/>
                <w:b/>
                <w:sz w:val="24"/>
                <w:szCs w:val="24"/>
              </w:rPr>
              <w:t>En Büyük 250 Müteahhitlik Firmasına İlişkin Liste</w:t>
            </w:r>
          </w:p>
        </w:tc>
      </w:tr>
      <w:tr w:rsidR="005D0B91" w:rsidRPr="005D0B91" w:rsidTr="005D0B91">
        <w:trPr>
          <w:trHeight w:val="330"/>
          <w:jc w:val="center"/>
        </w:trPr>
        <w:tc>
          <w:tcPr>
            <w:tcW w:w="856" w:type="dxa"/>
            <w:vMerge w:val="restart"/>
            <w:hideMark/>
          </w:tcPr>
          <w:p w:rsidR="005D0B91" w:rsidRPr="005D0B91" w:rsidRDefault="005D0B91" w:rsidP="005D0B91">
            <w:pPr>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Tük Firma Sayısı</w:t>
            </w:r>
          </w:p>
        </w:tc>
        <w:tc>
          <w:tcPr>
            <w:tcW w:w="696"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2012</w:t>
            </w:r>
          </w:p>
        </w:tc>
        <w:tc>
          <w:tcPr>
            <w:tcW w:w="721"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2013</w:t>
            </w:r>
          </w:p>
        </w:tc>
        <w:tc>
          <w:tcPr>
            <w:tcW w:w="709"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2014</w:t>
            </w:r>
          </w:p>
        </w:tc>
        <w:tc>
          <w:tcPr>
            <w:tcW w:w="709"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2015</w:t>
            </w:r>
          </w:p>
        </w:tc>
        <w:tc>
          <w:tcPr>
            <w:tcW w:w="708"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2016</w:t>
            </w:r>
          </w:p>
        </w:tc>
        <w:tc>
          <w:tcPr>
            <w:tcW w:w="709"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2017</w:t>
            </w:r>
          </w:p>
        </w:tc>
        <w:tc>
          <w:tcPr>
            <w:tcW w:w="709"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2018</w:t>
            </w:r>
          </w:p>
        </w:tc>
        <w:tc>
          <w:tcPr>
            <w:tcW w:w="709"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2019</w:t>
            </w:r>
          </w:p>
        </w:tc>
        <w:tc>
          <w:tcPr>
            <w:tcW w:w="714"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2020</w:t>
            </w:r>
          </w:p>
        </w:tc>
        <w:tc>
          <w:tcPr>
            <w:tcW w:w="696"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2021</w:t>
            </w:r>
          </w:p>
        </w:tc>
        <w:tc>
          <w:tcPr>
            <w:tcW w:w="698"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2022</w:t>
            </w:r>
          </w:p>
        </w:tc>
        <w:tc>
          <w:tcPr>
            <w:tcW w:w="709"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2023</w:t>
            </w:r>
          </w:p>
        </w:tc>
        <w:tc>
          <w:tcPr>
            <w:tcW w:w="580" w:type="dxa"/>
            <w:noWrap/>
            <w:hideMark/>
          </w:tcPr>
          <w:p w:rsidR="005D0B91" w:rsidRPr="005D0B91" w:rsidRDefault="005D0B91" w:rsidP="005D0B91">
            <w:pPr>
              <w:spacing w:line="276" w:lineRule="auto"/>
              <w:ind w:right="-2"/>
              <w:jc w:val="both"/>
              <w:rPr>
                <w:rFonts w:ascii="Times New Roman" w:hAnsi="Times New Roman" w:cs="Times New Roman"/>
                <w:b/>
                <w:bCs/>
                <w:sz w:val="24"/>
                <w:szCs w:val="24"/>
              </w:rPr>
            </w:pPr>
            <w:r w:rsidRPr="005D0B91">
              <w:rPr>
                <w:rFonts w:ascii="Times New Roman" w:hAnsi="Times New Roman" w:cs="Times New Roman"/>
                <w:b/>
                <w:bCs/>
                <w:sz w:val="24"/>
                <w:szCs w:val="24"/>
              </w:rPr>
              <w:t>2024</w:t>
            </w:r>
          </w:p>
        </w:tc>
      </w:tr>
      <w:tr w:rsidR="005D0B91" w:rsidRPr="005D0B91" w:rsidTr="005D0B91">
        <w:trPr>
          <w:cantSplit/>
          <w:trHeight w:val="645"/>
          <w:jc w:val="center"/>
        </w:trPr>
        <w:tc>
          <w:tcPr>
            <w:tcW w:w="856" w:type="dxa"/>
            <w:vMerge/>
            <w:textDirection w:val="btLr"/>
          </w:tcPr>
          <w:p w:rsidR="005D0B91" w:rsidRPr="005D0B91" w:rsidRDefault="005D0B91" w:rsidP="005D0B91">
            <w:pPr>
              <w:spacing w:after="200" w:line="276" w:lineRule="auto"/>
              <w:ind w:left="113" w:right="-2"/>
              <w:jc w:val="both"/>
              <w:rPr>
                <w:rFonts w:ascii="Times New Roman" w:hAnsi="Times New Roman" w:cs="Times New Roman"/>
                <w:sz w:val="24"/>
                <w:szCs w:val="24"/>
              </w:rPr>
            </w:pPr>
          </w:p>
        </w:tc>
        <w:tc>
          <w:tcPr>
            <w:tcW w:w="696"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33</w:t>
            </w:r>
          </w:p>
        </w:tc>
        <w:tc>
          <w:tcPr>
            <w:tcW w:w="721"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38</w:t>
            </w:r>
          </w:p>
        </w:tc>
        <w:tc>
          <w:tcPr>
            <w:tcW w:w="709"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42</w:t>
            </w:r>
          </w:p>
        </w:tc>
        <w:tc>
          <w:tcPr>
            <w:tcW w:w="709"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42</w:t>
            </w:r>
          </w:p>
        </w:tc>
        <w:tc>
          <w:tcPr>
            <w:tcW w:w="708"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40</w:t>
            </w:r>
          </w:p>
        </w:tc>
        <w:tc>
          <w:tcPr>
            <w:tcW w:w="709"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46</w:t>
            </w:r>
          </w:p>
        </w:tc>
        <w:tc>
          <w:tcPr>
            <w:tcW w:w="709"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46</w:t>
            </w:r>
          </w:p>
        </w:tc>
        <w:tc>
          <w:tcPr>
            <w:tcW w:w="709"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44</w:t>
            </w:r>
          </w:p>
        </w:tc>
        <w:tc>
          <w:tcPr>
            <w:tcW w:w="714"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44</w:t>
            </w:r>
          </w:p>
        </w:tc>
        <w:tc>
          <w:tcPr>
            <w:tcW w:w="696"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40</w:t>
            </w:r>
          </w:p>
        </w:tc>
        <w:tc>
          <w:tcPr>
            <w:tcW w:w="698"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42</w:t>
            </w:r>
          </w:p>
        </w:tc>
        <w:tc>
          <w:tcPr>
            <w:tcW w:w="709"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40</w:t>
            </w:r>
          </w:p>
        </w:tc>
        <w:tc>
          <w:tcPr>
            <w:tcW w:w="580" w:type="dxa"/>
            <w:noWrap/>
            <w:hideMark/>
          </w:tcPr>
          <w:p w:rsidR="005D0B91" w:rsidRPr="005D0B91" w:rsidRDefault="005D0B91" w:rsidP="005D0B91">
            <w:pPr>
              <w:spacing w:after="200" w:line="276" w:lineRule="auto"/>
              <w:ind w:right="-2"/>
              <w:jc w:val="both"/>
              <w:rPr>
                <w:rFonts w:ascii="Times New Roman" w:hAnsi="Times New Roman" w:cs="Times New Roman"/>
                <w:sz w:val="24"/>
                <w:szCs w:val="24"/>
              </w:rPr>
            </w:pPr>
            <w:r w:rsidRPr="005D0B91">
              <w:rPr>
                <w:rFonts w:ascii="Times New Roman" w:hAnsi="Times New Roman" w:cs="Times New Roman"/>
                <w:sz w:val="24"/>
                <w:szCs w:val="24"/>
              </w:rPr>
              <w:t>43</w:t>
            </w:r>
          </w:p>
        </w:tc>
      </w:tr>
    </w:tbl>
    <w:p w:rsidR="008B2F98" w:rsidRPr="007A1346" w:rsidRDefault="008B2F98" w:rsidP="008B2F98">
      <w:pPr>
        <w:spacing w:after="200" w:line="276" w:lineRule="auto"/>
        <w:ind w:right="-2"/>
        <w:jc w:val="both"/>
        <w:rPr>
          <w:rFonts w:ascii="Times New Roman" w:hAnsi="Times New Roman" w:cs="Times New Roman"/>
          <w:sz w:val="24"/>
          <w:szCs w:val="24"/>
        </w:rPr>
      </w:pPr>
    </w:p>
    <w:p w:rsidR="00EC38A9" w:rsidRPr="005102EE" w:rsidRDefault="00002AE9" w:rsidP="00EC38A9">
      <w:pPr>
        <w:pStyle w:val="ListeParagraf"/>
        <w:ind w:left="0"/>
        <w:jc w:val="both"/>
        <w:rPr>
          <w:rFonts w:ascii="Times New Roman" w:hAnsi="Times New Roman" w:cs="Times New Roman"/>
          <w:sz w:val="24"/>
          <w:szCs w:val="24"/>
        </w:rPr>
      </w:pPr>
      <w:r w:rsidRPr="007A1346">
        <w:rPr>
          <w:rFonts w:ascii="Times New Roman" w:hAnsi="Times New Roman" w:cs="Times New Roman"/>
          <w:sz w:val="24"/>
          <w:szCs w:val="24"/>
        </w:rPr>
        <w:t>Ö</w:t>
      </w:r>
      <w:r w:rsidR="001C1548" w:rsidRPr="007A1346">
        <w:rPr>
          <w:rFonts w:ascii="Times New Roman" w:hAnsi="Times New Roman" w:cs="Times New Roman"/>
          <w:sz w:val="24"/>
          <w:szCs w:val="24"/>
        </w:rPr>
        <w:t xml:space="preserve">te yandan, </w:t>
      </w:r>
      <w:r w:rsidR="00D40677">
        <w:rPr>
          <w:rFonts w:ascii="Times New Roman" w:hAnsi="Times New Roman" w:cs="Times New Roman"/>
          <w:sz w:val="24"/>
          <w:szCs w:val="24"/>
        </w:rPr>
        <w:t>Derginin 20</w:t>
      </w:r>
      <w:r w:rsidR="00EC38A9">
        <w:rPr>
          <w:rFonts w:ascii="Times New Roman" w:hAnsi="Times New Roman" w:cs="Times New Roman"/>
          <w:sz w:val="24"/>
          <w:szCs w:val="24"/>
        </w:rPr>
        <w:t>2</w:t>
      </w:r>
      <w:r w:rsidR="00227E13">
        <w:rPr>
          <w:rFonts w:ascii="Times New Roman" w:hAnsi="Times New Roman" w:cs="Times New Roman"/>
          <w:sz w:val="24"/>
          <w:szCs w:val="24"/>
        </w:rPr>
        <w:t>4</w:t>
      </w:r>
      <w:r w:rsidR="00D40677">
        <w:rPr>
          <w:rFonts w:ascii="Times New Roman" w:hAnsi="Times New Roman" w:cs="Times New Roman"/>
          <w:sz w:val="24"/>
          <w:szCs w:val="24"/>
        </w:rPr>
        <w:t xml:space="preserve"> yılı sayısındaki </w:t>
      </w:r>
      <w:r w:rsidR="005102EE">
        <w:rPr>
          <w:rFonts w:ascii="Times New Roman" w:hAnsi="Times New Roman" w:cs="Times New Roman"/>
          <w:sz w:val="24"/>
          <w:szCs w:val="24"/>
        </w:rPr>
        <w:t>202</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yılı gelirlerine göre 4</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firmamızın üstlendiği </w:t>
      </w:r>
      <w:r w:rsidR="005816A6" w:rsidRPr="007A1346">
        <w:rPr>
          <w:rFonts w:ascii="Times New Roman" w:hAnsi="Times New Roman" w:cs="Times New Roman"/>
          <w:b/>
          <w:sz w:val="24"/>
          <w:szCs w:val="24"/>
        </w:rPr>
        <w:t>proje</w:t>
      </w:r>
      <w:r w:rsidR="007163F3">
        <w:rPr>
          <w:rFonts w:ascii="Times New Roman" w:hAnsi="Times New Roman" w:cs="Times New Roman"/>
          <w:b/>
          <w:sz w:val="24"/>
          <w:szCs w:val="24"/>
        </w:rPr>
        <w:t>lerden elde edilen gelirler</w:t>
      </w:r>
      <w:r w:rsidR="00A23529">
        <w:rPr>
          <w:rFonts w:ascii="Times New Roman" w:hAnsi="Times New Roman" w:cs="Times New Roman"/>
          <w:b/>
          <w:sz w:val="24"/>
          <w:szCs w:val="24"/>
        </w:rPr>
        <w:t xml:space="preserve"> ile ülkemiz </w:t>
      </w:r>
      <w:r w:rsidR="0079258D">
        <w:rPr>
          <w:rFonts w:ascii="Times New Roman" w:hAnsi="Times New Roman" w:cs="Times New Roman"/>
          <w:b/>
          <w:sz w:val="24"/>
          <w:szCs w:val="24"/>
        </w:rPr>
        <w:t>8</w:t>
      </w:r>
      <w:r w:rsidR="001C1548" w:rsidRPr="007A1346">
        <w:rPr>
          <w:rFonts w:ascii="Times New Roman" w:hAnsi="Times New Roman" w:cs="Times New Roman"/>
          <w:b/>
          <w:sz w:val="24"/>
          <w:szCs w:val="24"/>
        </w:rPr>
        <w:t xml:space="preserve">. </w:t>
      </w:r>
      <w:r w:rsidR="005816A6" w:rsidRPr="007A1346">
        <w:rPr>
          <w:rFonts w:ascii="Times New Roman" w:hAnsi="Times New Roman" w:cs="Times New Roman"/>
          <w:b/>
          <w:sz w:val="24"/>
          <w:szCs w:val="24"/>
        </w:rPr>
        <w:t>s</w:t>
      </w:r>
      <w:r w:rsidR="001C1548" w:rsidRPr="007A1346">
        <w:rPr>
          <w:rFonts w:ascii="Times New Roman" w:hAnsi="Times New Roman" w:cs="Times New Roman"/>
          <w:b/>
          <w:sz w:val="24"/>
          <w:szCs w:val="24"/>
        </w:rPr>
        <w:t>ırada</w:t>
      </w:r>
      <w:r w:rsidR="001C1548" w:rsidRPr="007A1346">
        <w:rPr>
          <w:rFonts w:ascii="Times New Roman" w:hAnsi="Times New Roman" w:cs="Times New Roman"/>
          <w:sz w:val="24"/>
          <w:szCs w:val="24"/>
        </w:rPr>
        <w:t xml:space="preserve"> yer almaktadır. Bahse konu listede Türk müteahhitlik sektörü t</w:t>
      </w:r>
      <w:r w:rsidR="007C4C3C" w:rsidRPr="007A1346">
        <w:rPr>
          <w:rFonts w:ascii="Times New Roman" w:hAnsi="Times New Roman" w:cs="Times New Roman"/>
          <w:sz w:val="24"/>
          <w:szCs w:val="24"/>
        </w:rPr>
        <w:t xml:space="preserve">oplam </w:t>
      </w:r>
      <w:r w:rsidR="00FC4192">
        <w:rPr>
          <w:rFonts w:ascii="Times New Roman" w:hAnsi="Times New Roman" w:cs="Times New Roman"/>
          <w:sz w:val="24"/>
          <w:szCs w:val="24"/>
        </w:rPr>
        <w:t>499,7</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dolarlık gelir pastasından </w:t>
      </w:r>
      <w:r w:rsidR="0079258D">
        <w:rPr>
          <w:rFonts w:ascii="Times New Roman" w:hAnsi="Times New Roman" w:cs="Times New Roman"/>
          <w:sz w:val="24"/>
          <w:szCs w:val="24"/>
        </w:rPr>
        <w:t>18,</w:t>
      </w:r>
      <w:r w:rsidR="00FC4192">
        <w:rPr>
          <w:rFonts w:ascii="Times New Roman" w:hAnsi="Times New Roman" w:cs="Times New Roman"/>
          <w:sz w:val="24"/>
          <w:szCs w:val="24"/>
        </w:rPr>
        <w:t>5</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w:t>
      </w:r>
      <w:r w:rsidR="00E86143" w:rsidRPr="007A1346">
        <w:rPr>
          <w:rFonts w:ascii="Times New Roman" w:hAnsi="Times New Roman" w:cs="Times New Roman"/>
          <w:sz w:val="24"/>
          <w:szCs w:val="24"/>
        </w:rPr>
        <w:t>dolarlık bir</w:t>
      </w:r>
      <w:r w:rsidR="001C1548" w:rsidRPr="007A1346">
        <w:rPr>
          <w:rFonts w:ascii="Times New Roman" w:hAnsi="Times New Roman" w:cs="Times New Roman"/>
          <w:sz w:val="24"/>
          <w:szCs w:val="24"/>
        </w:rPr>
        <w:t xml:space="preserve"> pay almıştır. </w:t>
      </w:r>
      <w:r w:rsidR="005102EE" w:rsidRPr="003F4423">
        <w:rPr>
          <w:rFonts w:ascii="Times New Roman" w:hAnsi="Times New Roman"/>
          <w:color w:val="000000" w:themeColor="text1"/>
          <w:sz w:val="24"/>
          <w:szCs w:val="24"/>
        </w:rPr>
        <w:t xml:space="preserve">Türk müteahhitlik firmalarının gelirlerinin listedeki firmaların toplam gelirleri içerisindeki payı da bir önceki yılda ulaşılan </w:t>
      </w:r>
      <w:r w:rsidR="00437393" w:rsidRPr="005102EE">
        <w:rPr>
          <w:rFonts w:ascii="Times New Roman" w:hAnsi="Times New Roman"/>
          <w:color w:val="000000" w:themeColor="text1"/>
          <w:sz w:val="24"/>
          <w:szCs w:val="24"/>
        </w:rPr>
        <w:t>%</w:t>
      </w:r>
      <w:r w:rsidR="00FC4192">
        <w:rPr>
          <w:rFonts w:ascii="Times New Roman" w:hAnsi="Times New Roman"/>
          <w:color w:val="000000" w:themeColor="text1"/>
          <w:sz w:val="24"/>
          <w:szCs w:val="24"/>
        </w:rPr>
        <w:t xml:space="preserve">4,4’ten </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3,7</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y</w:t>
      </w:r>
      <w:r w:rsidR="005102EE" w:rsidRPr="005102EE">
        <w:rPr>
          <w:rFonts w:ascii="Times New Roman" w:hAnsi="Times New Roman"/>
          <w:color w:val="000000" w:themeColor="text1"/>
          <w:sz w:val="24"/>
          <w:szCs w:val="24"/>
        </w:rPr>
        <w:t xml:space="preserve">e </w:t>
      </w:r>
      <w:r w:rsidR="0079258D">
        <w:rPr>
          <w:rFonts w:ascii="Times New Roman" w:hAnsi="Times New Roman"/>
          <w:color w:val="000000" w:themeColor="text1"/>
          <w:sz w:val="24"/>
          <w:szCs w:val="24"/>
        </w:rPr>
        <w:t>gerilemiştir.</w:t>
      </w:r>
    </w:p>
    <w:p w:rsidR="003B21CF" w:rsidRPr="007A1346" w:rsidRDefault="003B21CF" w:rsidP="008B2F98">
      <w:pPr>
        <w:spacing w:after="200" w:line="276" w:lineRule="auto"/>
        <w:ind w:right="-2"/>
        <w:jc w:val="both"/>
        <w:rPr>
          <w:rFonts w:ascii="Times New Roman" w:hAnsi="Times New Roman" w:cs="Times New Roman"/>
          <w:sz w:val="24"/>
          <w:szCs w:val="24"/>
        </w:rPr>
      </w:pPr>
      <w:r w:rsidRPr="00193195">
        <w:rPr>
          <w:rFonts w:ascii="Times New Roman" w:hAnsi="Times New Roman" w:cs="Times New Roman"/>
          <w:sz w:val="24"/>
          <w:szCs w:val="24"/>
        </w:rPr>
        <w:t>Toplam gelirden en büyük payı ise Çinli (%</w:t>
      </w:r>
      <w:r w:rsidR="00B25F0B">
        <w:rPr>
          <w:rFonts w:ascii="Times New Roman" w:hAnsi="Times New Roman" w:cs="Times New Roman"/>
          <w:sz w:val="24"/>
          <w:szCs w:val="24"/>
        </w:rPr>
        <w:t>24,6</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122,9</w:t>
      </w:r>
      <w:r w:rsidRPr="00193195">
        <w:rPr>
          <w:rFonts w:ascii="Times New Roman" w:hAnsi="Times New Roman" w:cs="Times New Roman"/>
          <w:sz w:val="24"/>
          <w:szCs w:val="24"/>
        </w:rPr>
        <w:t xml:space="preserve"> milyar dolar), </w:t>
      </w:r>
      <w:r w:rsidR="0079258D" w:rsidRPr="00193195">
        <w:rPr>
          <w:rFonts w:ascii="Times New Roman" w:hAnsi="Times New Roman" w:cs="Times New Roman"/>
          <w:sz w:val="24"/>
          <w:szCs w:val="24"/>
        </w:rPr>
        <w:t>Fransız (%</w:t>
      </w:r>
      <w:r w:rsidR="00B25F0B">
        <w:rPr>
          <w:rFonts w:ascii="Times New Roman" w:hAnsi="Times New Roman" w:cs="Times New Roman"/>
          <w:sz w:val="24"/>
          <w:szCs w:val="24"/>
        </w:rPr>
        <w:t>17</w:t>
      </w:r>
      <w:r w:rsidR="0079258D" w:rsidRPr="00193195">
        <w:rPr>
          <w:rFonts w:ascii="Times New Roman" w:hAnsi="Times New Roman" w:cs="Times New Roman"/>
          <w:sz w:val="24"/>
          <w:szCs w:val="24"/>
        </w:rPr>
        <w:t xml:space="preserve"> – </w:t>
      </w:r>
      <w:r w:rsidR="00B25F0B">
        <w:rPr>
          <w:rFonts w:ascii="Times New Roman" w:hAnsi="Times New Roman" w:cs="Times New Roman"/>
          <w:sz w:val="24"/>
          <w:szCs w:val="24"/>
        </w:rPr>
        <w:t>84,9</w:t>
      </w:r>
      <w:r w:rsidR="0079258D" w:rsidRPr="00193195">
        <w:rPr>
          <w:rFonts w:ascii="Times New Roman" w:hAnsi="Times New Roman" w:cs="Times New Roman"/>
          <w:sz w:val="24"/>
          <w:szCs w:val="24"/>
        </w:rPr>
        <w:t xml:space="preserve"> milyar dolar), </w:t>
      </w:r>
      <w:r w:rsidRPr="00193195">
        <w:rPr>
          <w:rFonts w:ascii="Times New Roman" w:hAnsi="Times New Roman" w:cs="Times New Roman"/>
          <w:sz w:val="24"/>
          <w:szCs w:val="24"/>
        </w:rPr>
        <w:t>İspanyol (%</w:t>
      </w:r>
      <w:r w:rsidR="00B25F0B">
        <w:rPr>
          <w:rFonts w:ascii="Times New Roman" w:hAnsi="Times New Roman" w:cs="Times New Roman"/>
          <w:sz w:val="24"/>
          <w:szCs w:val="24"/>
        </w:rPr>
        <w:t>11,9</w:t>
      </w:r>
      <w:r w:rsidRPr="00193195">
        <w:rPr>
          <w:rFonts w:ascii="Times New Roman" w:hAnsi="Times New Roman" w:cs="Times New Roman"/>
          <w:sz w:val="24"/>
          <w:szCs w:val="24"/>
        </w:rPr>
        <w:t xml:space="preserve"> – </w:t>
      </w:r>
      <w:r w:rsidR="00DE5444">
        <w:rPr>
          <w:rFonts w:ascii="Times New Roman" w:hAnsi="Times New Roman" w:cs="Times New Roman"/>
          <w:sz w:val="24"/>
          <w:szCs w:val="24"/>
        </w:rPr>
        <w:t>5</w:t>
      </w:r>
      <w:r w:rsidR="0079258D">
        <w:rPr>
          <w:rFonts w:ascii="Times New Roman" w:hAnsi="Times New Roman" w:cs="Times New Roman"/>
          <w:sz w:val="24"/>
          <w:szCs w:val="24"/>
        </w:rPr>
        <w:t>9,4</w:t>
      </w:r>
      <w:r w:rsidR="00DE5444">
        <w:rPr>
          <w:rFonts w:ascii="Times New Roman" w:hAnsi="Times New Roman" w:cs="Times New Roman"/>
          <w:sz w:val="24"/>
          <w:szCs w:val="24"/>
        </w:rPr>
        <w:t xml:space="preserve"> </w:t>
      </w:r>
      <w:r w:rsidRPr="00193195">
        <w:rPr>
          <w:rFonts w:ascii="Times New Roman" w:hAnsi="Times New Roman" w:cs="Times New Roman"/>
          <w:sz w:val="24"/>
          <w:szCs w:val="24"/>
        </w:rPr>
        <w:t>milyar dolar), Amerikan (%</w:t>
      </w:r>
      <w:r w:rsidR="00DE5444">
        <w:rPr>
          <w:rFonts w:ascii="Times New Roman" w:hAnsi="Times New Roman" w:cs="Times New Roman"/>
          <w:sz w:val="24"/>
          <w:szCs w:val="24"/>
        </w:rPr>
        <w:t>6,</w:t>
      </w:r>
      <w:r w:rsidR="00B25F0B">
        <w:rPr>
          <w:rFonts w:ascii="Times New Roman" w:hAnsi="Times New Roman" w:cs="Times New Roman"/>
          <w:sz w:val="24"/>
          <w:szCs w:val="24"/>
        </w:rPr>
        <w:t>9</w:t>
      </w:r>
      <w:r w:rsidRPr="00193195">
        <w:rPr>
          <w:rFonts w:ascii="Times New Roman" w:hAnsi="Times New Roman" w:cs="Times New Roman"/>
          <w:sz w:val="24"/>
          <w:szCs w:val="24"/>
        </w:rPr>
        <w:t xml:space="preserve"> – </w:t>
      </w:r>
      <w:r w:rsidR="00B25F0B">
        <w:rPr>
          <w:rFonts w:ascii="Times New Roman" w:hAnsi="Times New Roman" w:cs="Times New Roman"/>
          <w:sz w:val="24"/>
          <w:szCs w:val="24"/>
        </w:rPr>
        <w:t>34,27</w:t>
      </w:r>
      <w:r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w:t>
      </w:r>
      <w:r w:rsidR="00A51A95" w:rsidRPr="00193195">
        <w:rPr>
          <w:rFonts w:ascii="Times New Roman" w:hAnsi="Times New Roman" w:cs="Times New Roman"/>
          <w:sz w:val="24"/>
          <w:szCs w:val="24"/>
        </w:rPr>
        <w:t>Koreli (%</w:t>
      </w:r>
      <w:r w:rsidR="00A51A95">
        <w:rPr>
          <w:rFonts w:ascii="Times New Roman" w:hAnsi="Times New Roman" w:cs="Times New Roman"/>
          <w:sz w:val="24"/>
          <w:szCs w:val="24"/>
        </w:rPr>
        <w:t>6,</w:t>
      </w:r>
      <w:r w:rsidR="00B25F0B">
        <w:rPr>
          <w:rFonts w:ascii="Times New Roman" w:hAnsi="Times New Roman" w:cs="Times New Roman"/>
          <w:sz w:val="24"/>
          <w:szCs w:val="24"/>
        </w:rPr>
        <w:t>8</w:t>
      </w:r>
      <w:r w:rsidR="00A51A95" w:rsidRPr="00193195">
        <w:rPr>
          <w:rFonts w:ascii="Times New Roman" w:hAnsi="Times New Roman" w:cs="Times New Roman"/>
          <w:sz w:val="24"/>
          <w:szCs w:val="24"/>
        </w:rPr>
        <w:t>–</w:t>
      </w:r>
      <w:r w:rsidR="00B25F0B">
        <w:rPr>
          <w:rFonts w:ascii="Times New Roman" w:hAnsi="Times New Roman" w:cs="Times New Roman"/>
          <w:sz w:val="24"/>
          <w:szCs w:val="24"/>
        </w:rPr>
        <w:t>34,17</w:t>
      </w:r>
      <w:r w:rsidR="00A51A95"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ve</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İtalya</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6,3</w:t>
      </w:r>
      <w:r w:rsidRPr="00193195">
        <w:rPr>
          <w:rFonts w:ascii="Times New Roman" w:hAnsi="Times New Roman" w:cs="Times New Roman"/>
          <w:sz w:val="24"/>
          <w:szCs w:val="24"/>
        </w:rPr>
        <w:t>–</w:t>
      </w:r>
      <w:r w:rsidR="00B25F0B">
        <w:rPr>
          <w:rFonts w:ascii="Times New Roman" w:hAnsi="Times New Roman" w:cs="Times New Roman"/>
          <w:sz w:val="24"/>
          <w:szCs w:val="24"/>
        </w:rPr>
        <w:t>31,63</w:t>
      </w:r>
      <w:r w:rsidRPr="00193195">
        <w:rPr>
          <w:rFonts w:ascii="Times New Roman" w:hAnsi="Times New Roman" w:cs="Times New Roman"/>
          <w:sz w:val="24"/>
          <w:szCs w:val="24"/>
        </w:rPr>
        <w:t xml:space="preserve"> milyar dolar) almıştır.</w:t>
      </w:r>
    </w:p>
    <w:p w:rsidR="003B21CF" w:rsidRDefault="003B21CF" w:rsidP="008B2F98">
      <w:pPr>
        <w:spacing w:after="200" w:line="276" w:lineRule="auto"/>
        <w:ind w:right="-2"/>
        <w:jc w:val="both"/>
        <w:rPr>
          <w:rFonts w:ascii="Times New Roman" w:hAnsi="Times New Roman" w:cs="Times New Roman"/>
          <w:sz w:val="24"/>
          <w:szCs w:val="24"/>
        </w:rPr>
      </w:pPr>
      <w:r w:rsidRPr="007A1346">
        <w:rPr>
          <w:rFonts w:ascii="Times New Roman" w:hAnsi="Times New Roman" w:cs="Times New Roman"/>
          <w:sz w:val="24"/>
          <w:szCs w:val="24"/>
        </w:rPr>
        <w:t>Bu listeye göre bölgesel olarak müteahhitlik paz</w:t>
      </w:r>
      <w:r w:rsidR="005102EE">
        <w:rPr>
          <w:rFonts w:ascii="Times New Roman" w:hAnsi="Times New Roman" w:cs="Times New Roman"/>
          <w:sz w:val="24"/>
          <w:szCs w:val="24"/>
        </w:rPr>
        <w:t>arlarından Ortadoğu’da Çinli (%</w:t>
      </w:r>
      <w:r w:rsidR="00B64C84">
        <w:rPr>
          <w:rFonts w:ascii="Times New Roman" w:hAnsi="Times New Roman" w:cs="Times New Roman"/>
          <w:sz w:val="24"/>
          <w:szCs w:val="24"/>
        </w:rPr>
        <w:t>25,3</w:t>
      </w:r>
      <w:r w:rsidRPr="007A1346">
        <w:rPr>
          <w:rFonts w:ascii="Times New Roman" w:hAnsi="Times New Roman" w:cs="Times New Roman"/>
          <w:sz w:val="24"/>
          <w:szCs w:val="24"/>
        </w:rPr>
        <w:t xml:space="preserve">) ve </w:t>
      </w:r>
      <w:r w:rsidR="00B64C84">
        <w:rPr>
          <w:rFonts w:ascii="Times New Roman" w:hAnsi="Times New Roman" w:cs="Times New Roman"/>
          <w:sz w:val="24"/>
          <w:szCs w:val="24"/>
        </w:rPr>
        <w:t>İtalyan</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13,6</w:t>
      </w:r>
      <w:r w:rsidRPr="007A1346">
        <w:rPr>
          <w:rFonts w:ascii="Times New Roman" w:hAnsi="Times New Roman" w:cs="Times New Roman"/>
          <w:sz w:val="24"/>
          <w:szCs w:val="24"/>
        </w:rPr>
        <w:t>) firmaların, Asya’da Çinli (%</w:t>
      </w:r>
      <w:r w:rsidR="00A51A95">
        <w:rPr>
          <w:rFonts w:ascii="Times New Roman" w:hAnsi="Times New Roman" w:cs="Times New Roman"/>
          <w:sz w:val="24"/>
          <w:szCs w:val="24"/>
        </w:rPr>
        <w:t>5</w:t>
      </w:r>
      <w:r w:rsidR="00B64C84">
        <w:rPr>
          <w:rFonts w:ascii="Times New Roman" w:hAnsi="Times New Roman" w:cs="Times New Roman"/>
          <w:sz w:val="24"/>
          <w:szCs w:val="24"/>
        </w:rPr>
        <w:t>5,8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Koreli</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w:t>
      </w:r>
      <w:r w:rsidR="00A51A95">
        <w:rPr>
          <w:rFonts w:ascii="Times New Roman" w:hAnsi="Times New Roman" w:cs="Times New Roman"/>
          <w:sz w:val="24"/>
          <w:szCs w:val="24"/>
        </w:rPr>
        <w:t>%</w:t>
      </w:r>
      <w:r w:rsidR="00B64C84">
        <w:rPr>
          <w:rFonts w:ascii="Times New Roman" w:hAnsi="Times New Roman" w:cs="Times New Roman"/>
          <w:sz w:val="24"/>
          <w:szCs w:val="24"/>
        </w:rPr>
        <w:t>11,4</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firmaların, Afrika’da ise Çinli (%</w:t>
      </w:r>
      <w:r w:rsidR="00B64C84">
        <w:rPr>
          <w:rFonts w:ascii="Times New Roman" w:hAnsi="Times New Roman" w:cs="Times New Roman"/>
          <w:sz w:val="24"/>
          <w:szCs w:val="24"/>
        </w:rPr>
        <w:t>56,8)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İtalyan</w:t>
      </w:r>
      <w:r w:rsidR="005102EE">
        <w:rPr>
          <w:rFonts w:ascii="Times New Roman" w:hAnsi="Times New Roman" w:cs="Times New Roman"/>
          <w:sz w:val="24"/>
          <w:szCs w:val="24"/>
        </w:rPr>
        <w:t xml:space="preserve"> </w:t>
      </w:r>
      <w:r w:rsidR="0082552E" w:rsidRPr="0082552E">
        <w:rPr>
          <w:rFonts w:ascii="Times New Roman" w:hAnsi="Times New Roman" w:cs="Times New Roman"/>
          <w:sz w:val="24"/>
          <w:szCs w:val="24"/>
        </w:rPr>
        <w:t>(%</w:t>
      </w:r>
      <w:r w:rsidR="00B64C84">
        <w:rPr>
          <w:rFonts w:ascii="Times New Roman" w:hAnsi="Times New Roman" w:cs="Times New Roman"/>
          <w:sz w:val="24"/>
          <w:szCs w:val="24"/>
        </w:rPr>
        <w:t>10,9</w:t>
      </w:r>
      <w:r w:rsidRPr="0082552E">
        <w:rPr>
          <w:rFonts w:ascii="Times New Roman" w:hAnsi="Times New Roman" w:cs="Times New Roman"/>
          <w:sz w:val="24"/>
          <w:szCs w:val="24"/>
        </w:rPr>
        <w:t>)</w:t>
      </w:r>
      <w:r w:rsidR="00C74DD2">
        <w:rPr>
          <w:rFonts w:ascii="Times New Roman" w:hAnsi="Times New Roman" w:cs="Times New Roman"/>
          <w:sz w:val="24"/>
          <w:szCs w:val="24"/>
        </w:rPr>
        <w:t xml:space="preserve"> </w:t>
      </w:r>
      <w:r w:rsidRPr="0082552E">
        <w:rPr>
          <w:rFonts w:ascii="Times New Roman" w:hAnsi="Times New Roman" w:cs="Times New Roman"/>
          <w:sz w:val="24"/>
          <w:szCs w:val="24"/>
        </w:rPr>
        <w:t>firmaların üstünlükleri</w:t>
      </w:r>
      <w:r w:rsidRPr="007A1346">
        <w:rPr>
          <w:rFonts w:ascii="Times New Roman" w:hAnsi="Times New Roman" w:cs="Times New Roman"/>
          <w:sz w:val="24"/>
          <w:szCs w:val="24"/>
        </w:rPr>
        <w:t xml:space="preserve"> olduğu görülmektedir. Türk firmalarının ise Ortadoğu (%</w:t>
      </w:r>
      <w:r w:rsidR="00DA6F15">
        <w:rPr>
          <w:rFonts w:ascii="Times New Roman" w:hAnsi="Times New Roman" w:cs="Times New Roman"/>
          <w:sz w:val="24"/>
          <w:szCs w:val="24"/>
        </w:rPr>
        <w:t>7,8</w:t>
      </w:r>
      <w:r w:rsidRPr="007A1346">
        <w:rPr>
          <w:rFonts w:ascii="Times New Roman" w:hAnsi="Times New Roman" w:cs="Times New Roman"/>
          <w:sz w:val="24"/>
          <w:szCs w:val="24"/>
        </w:rPr>
        <w:t>), Avrupa (%</w:t>
      </w:r>
      <w:r w:rsidR="00DA6F15">
        <w:rPr>
          <w:rFonts w:ascii="Times New Roman" w:hAnsi="Times New Roman" w:cs="Times New Roman"/>
          <w:sz w:val="24"/>
          <w:szCs w:val="24"/>
        </w:rPr>
        <w:t>6,6</w:t>
      </w:r>
      <w:r w:rsidRPr="007A1346">
        <w:rPr>
          <w:rFonts w:ascii="Times New Roman" w:hAnsi="Times New Roman" w:cs="Times New Roman"/>
          <w:sz w:val="24"/>
          <w:szCs w:val="24"/>
        </w:rPr>
        <w:t>), Asya (%</w:t>
      </w:r>
      <w:r w:rsidR="00A51A95">
        <w:rPr>
          <w:rFonts w:ascii="Times New Roman" w:hAnsi="Times New Roman" w:cs="Times New Roman"/>
          <w:sz w:val="24"/>
          <w:szCs w:val="24"/>
        </w:rPr>
        <w:t>2,</w:t>
      </w:r>
      <w:r w:rsidR="00DA6F15">
        <w:rPr>
          <w:rFonts w:ascii="Times New Roman" w:hAnsi="Times New Roman" w:cs="Times New Roman"/>
          <w:sz w:val="24"/>
          <w:szCs w:val="24"/>
        </w:rPr>
        <w:t>1</w:t>
      </w:r>
      <w:r w:rsidR="00C74DD2">
        <w:rPr>
          <w:rFonts w:ascii="Times New Roman" w:hAnsi="Times New Roman" w:cs="Times New Roman"/>
          <w:sz w:val="24"/>
          <w:szCs w:val="24"/>
        </w:rPr>
        <w:t>) ve Afrika’da (%</w:t>
      </w:r>
      <w:r w:rsidR="00541645">
        <w:rPr>
          <w:rFonts w:ascii="Times New Roman" w:hAnsi="Times New Roman" w:cs="Times New Roman"/>
          <w:sz w:val="24"/>
          <w:szCs w:val="24"/>
        </w:rPr>
        <w:t>4,3</w:t>
      </w:r>
      <w:r w:rsidRPr="007A1346">
        <w:rPr>
          <w:rFonts w:ascii="Times New Roman" w:hAnsi="Times New Roman" w:cs="Times New Roman"/>
          <w:sz w:val="24"/>
          <w:szCs w:val="24"/>
        </w:rPr>
        <w:t>) etkin olduğu anlaşılmaktadır.</w:t>
      </w:r>
    </w:p>
    <w:p w:rsidR="00C66D58" w:rsidRDefault="00C66D58" w:rsidP="00A219F4">
      <w:pPr>
        <w:spacing w:after="200" w:line="276" w:lineRule="auto"/>
        <w:jc w:val="both"/>
        <w:rPr>
          <w:rFonts w:ascii="Times New Roman" w:hAnsi="Times New Roman" w:cs="Times New Roman"/>
          <w:b/>
          <w:sz w:val="24"/>
          <w:szCs w:val="24"/>
        </w:rPr>
      </w:pPr>
    </w:p>
    <w:tbl>
      <w:tblPr>
        <w:tblStyle w:val="KlavuzTablo6-Renkli-Vurgu5"/>
        <w:tblW w:w="8059" w:type="dxa"/>
        <w:jc w:val="center"/>
        <w:tblLook w:val="04A0" w:firstRow="1" w:lastRow="0" w:firstColumn="1" w:lastColumn="0" w:noHBand="0" w:noVBand="1"/>
      </w:tblPr>
      <w:tblGrid>
        <w:gridCol w:w="2237"/>
        <w:gridCol w:w="1675"/>
        <w:gridCol w:w="1895"/>
        <w:gridCol w:w="2252"/>
      </w:tblGrid>
      <w:tr w:rsidR="008B2F98" w:rsidRPr="00AE18B8" w:rsidTr="00227E13">
        <w:trPr>
          <w:cnfStyle w:val="100000000000" w:firstRow="1" w:lastRow="0" w:firstColumn="0" w:lastColumn="0" w:oddVBand="0" w:evenVBand="0" w:oddHBand="0"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jc w:val="center"/>
              <w:rPr>
                <w:rFonts w:ascii="Times New Roman" w:hAnsi="Times New Roman"/>
                <w:b w:val="0"/>
                <w:bCs w:val="0"/>
                <w:color w:val="000000" w:themeColor="text1"/>
                <w:sz w:val="24"/>
                <w:szCs w:val="24"/>
              </w:rPr>
            </w:pPr>
            <w:bookmarkStart w:id="12" w:name="_Hlk143785403"/>
            <w:r w:rsidRPr="00AE18B8">
              <w:rPr>
                <w:rFonts w:ascii="Times New Roman" w:hAnsi="Times New Roman"/>
                <w:color w:val="000000" w:themeColor="text1"/>
                <w:sz w:val="24"/>
                <w:szCs w:val="24"/>
              </w:rPr>
              <w:t>ÜLKESİ</w:t>
            </w:r>
          </w:p>
        </w:tc>
        <w:tc>
          <w:tcPr>
            <w:tcW w:w="1675" w:type="dxa"/>
            <w:noWrap/>
            <w:hideMark/>
          </w:tcPr>
          <w:p w:rsidR="008B2F98" w:rsidRPr="00AE18B8" w:rsidRDefault="008B2F98" w:rsidP="00DA6F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xml:space="preserve">FİRMA SAYISI </w:t>
            </w:r>
          </w:p>
        </w:tc>
        <w:tc>
          <w:tcPr>
            <w:tcW w:w="4147" w:type="dxa"/>
            <w:gridSpan w:val="2"/>
            <w:hideMark/>
          </w:tcPr>
          <w:p w:rsidR="008B2F98" w:rsidRPr="00AE18B8" w:rsidRDefault="008B2F98" w:rsidP="00DA6F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ULUSLARARASI PROJELERDEN ELDE EDİLEN MÜTEAHHİTLİK GELİRLERİ</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jc w:val="center"/>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w:t>
            </w:r>
          </w:p>
        </w:tc>
        <w:tc>
          <w:tcPr>
            <w:tcW w:w="167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 </w:t>
            </w:r>
          </w:p>
        </w:tc>
        <w:tc>
          <w:tcPr>
            <w:tcW w:w="1895" w:type="dxa"/>
            <w:noWrap/>
            <w:hideMark/>
          </w:tcPr>
          <w:p w:rsidR="008B2F98" w:rsidRPr="00AE18B8" w:rsidRDefault="008B2F98" w:rsidP="00F6006A">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Milyar</w:t>
            </w:r>
            <w:r w:rsidR="00F6006A">
              <w:rPr>
                <w:rFonts w:ascii="Times New Roman" w:hAnsi="Times New Roman"/>
                <w:b/>
                <w:bCs/>
                <w:color w:val="000000" w:themeColor="text1"/>
                <w:sz w:val="24"/>
                <w:szCs w:val="24"/>
              </w:rPr>
              <w:t xml:space="preserve"> </w:t>
            </w:r>
            <w:proofErr w:type="gramStart"/>
            <w:r w:rsidRPr="00AE18B8">
              <w:rPr>
                <w:rFonts w:ascii="Times New Roman" w:hAnsi="Times New Roman"/>
                <w:b/>
                <w:bCs/>
                <w:color w:val="000000" w:themeColor="text1"/>
                <w:sz w:val="24"/>
                <w:szCs w:val="24"/>
              </w:rPr>
              <w:t>Dolar(</w:t>
            </w:r>
            <w:proofErr w:type="gramEnd"/>
            <w:r w:rsidRPr="00AE18B8">
              <w:rPr>
                <w:rFonts w:ascii="Times New Roman" w:hAnsi="Times New Roman"/>
                <w:b/>
                <w:bCs/>
                <w:color w:val="000000" w:themeColor="text1"/>
                <w:sz w:val="24"/>
                <w:szCs w:val="24"/>
              </w:rPr>
              <w:t>$)</w:t>
            </w:r>
          </w:p>
        </w:tc>
        <w:tc>
          <w:tcPr>
            <w:tcW w:w="2252"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Yüzdesi</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ABD</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3</w:t>
            </w:r>
            <w:r>
              <w:rPr>
                <w:rFonts w:ascii="Times New Roman" w:hAnsi="Times New Roman"/>
                <w:b/>
                <w:color w:val="000000" w:themeColor="text1"/>
                <w:sz w:val="24"/>
                <w:szCs w:val="24"/>
              </w:rPr>
              <w:t>8</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34,27</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%6,</w:t>
            </w:r>
            <w:r>
              <w:rPr>
                <w:rFonts w:ascii="Times New Roman" w:hAnsi="Times New Roman"/>
                <w:b/>
                <w:color w:val="000000" w:themeColor="text1"/>
                <w:sz w:val="24"/>
                <w:szCs w:val="24"/>
              </w:rPr>
              <w:t>9</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tcPr>
          <w:p w:rsidR="008B2F98" w:rsidRPr="00D03258" w:rsidRDefault="008B2F98" w:rsidP="00DA6F15">
            <w:pPr>
              <w:rPr>
                <w:rFonts w:ascii="Times New Roman" w:hAnsi="Times New Roman"/>
                <w:color w:val="000000" w:themeColor="text1"/>
                <w:sz w:val="24"/>
                <w:szCs w:val="24"/>
              </w:rPr>
            </w:pPr>
            <w:r w:rsidRPr="00D03258">
              <w:rPr>
                <w:rFonts w:ascii="Times New Roman" w:hAnsi="Times New Roman"/>
                <w:color w:val="000000" w:themeColor="text1"/>
                <w:sz w:val="24"/>
                <w:szCs w:val="24"/>
              </w:rPr>
              <w:t>Avustralya</w:t>
            </w:r>
          </w:p>
        </w:tc>
        <w:tc>
          <w:tcPr>
            <w:tcW w:w="1675" w:type="dxa"/>
            <w:noWrap/>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1895" w:type="dxa"/>
            <w:noWrap/>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1,59</w:t>
            </w:r>
          </w:p>
        </w:tc>
        <w:tc>
          <w:tcPr>
            <w:tcW w:w="2252" w:type="dxa"/>
            <w:noWrap/>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%0,3</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Kanada</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1,9</w:t>
            </w:r>
            <w:r>
              <w:rPr>
                <w:rFonts w:ascii="Times New Roman" w:hAnsi="Times New Roman"/>
                <w:b/>
                <w:color w:val="000000" w:themeColor="text1"/>
                <w:sz w:val="24"/>
                <w:szCs w:val="24"/>
              </w:rPr>
              <w:t>0</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%0,</w:t>
            </w:r>
            <w:r>
              <w:rPr>
                <w:rFonts w:ascii="Times New Roman" w:hAnsi="Times New Roman"/>
                <w:b/>
                <w:color w:val="000000" w:themeColor="text1"/>
                <w:sz w:val="24"/>
                <w:szCs w:val="24"/>
              </w:rPr>
              <w:t>4</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Avrupa</w:t>
            </w:r>
          </w:p>
        </w:tc>
        <w:tc>
          <w:tcPr>
            <w:tcW w:w="167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3</w:t>
            </w:r>
          </w:p>
        </w:tc>
        <w:tc>
          <w:tcPr>
            <w:tcW w:w="189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246,41</w:t>
            </w:r>
          </w:p>
        </w:tc>
        <w:tc>
          <w:tcPr>
            <w:tcW w:w="2252"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9,3</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İngiltere</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2</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4,9</w:t>
            </w:r>
            <w:r>
              <w:rPr>
                <w:rFonts w:ascii="Times New Roman" w:hAnsi="Times New Roman"/>
                <w:b/>
                <w:color w:val="000000" w:themeColor="text1"/>
                <w:sz w:val="24"/>
                <w:szCs w:val="24"/>
              </w:rPr>
              <w:t>7</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Hollanda</w:t>
            </w:r>
          </w:p>
        </w:tc>
        <w:tc>
          <w:tcPr>
            <w:tcW w:w="167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89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13,42</w:t>
            </w:r>
          </w:p>
        </w:tc>
        <w:tc>
          <w:tcPr>
            <w:tcW w:w="2252"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2,7</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Fransa</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84,91</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7</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İtalya</w:t>
            </w:r>
          </w:p>
        </w:tc>
        <w:tc>
          <w:tcPr>
            <w:tcW w:w="167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189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31,63</w:t>
            </w:r>
          </w:p>
        </w:tc>
        <w:tc>
          <w:tcPr>
            <w:tcW w:w="2252"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6,3</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color w:val="000000" w:themeColor="text1"/>
                <w:sz w:val="24"/>
                <w:szCs w:val="24"/>
              </w:rPr>
            </w:pPr>
            <w:r w:rsidRPr="00AE18B8">
              <w:rPr>
                <w:rFonts w:ascii="Times New Roman" w:hAnsi="Times New Roman"/>
                <w:color w:val="000000" w:themeColor="text1"/>
                <w:sz w:val="24"/>
                <w:szCs w:val="24"/>
              </w:rPr>
              <w:lastRenderedPageBreak/>
              <w:t xml:space="preserve">     Almanya</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2</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7</w:t>
            </w:r>
            <w:r>
              <w:rPr>
                <w:rFonts w:ascii="Times New Roman" w:hAnsi="Times New Roman"/>
                <w:b/>
                <w:color w:val="000000" w:themeColor="text1"/>
                <w:sz w:val="24"/>
                <w:szCs w:val="24"/>
              </w:rPr>
              <w:t>,00</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4</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İspanya</w:t>
            </w:r>
          </w:p>
        </w:tc>
        <w:tc>
          <w:tcPr>
            <w:tcW w:w="167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189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59,</w:t>
            </w:r>
            <w:r>
              <w:rPr>
                <w:rFonts w:ascii="Times New Roman" w:hAnsi="Times New Roman"/>
                <w:b/>
                <w:color w:val="000000" w:themeColor="text1"/>
                <w:sz w:val="24"/>
                <w:szCs w:val="24"/>
              </w:rPr>
              <w:t>37</w:t>
            </w:r>
          </w:p>
        </w:tc>
        <w:tc>
          <w:tcPr>
            <w:tcW w:w="2252"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1,9</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Diğer Avrupa</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1</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5,07</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%9</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Japonya</w:t>
            </w:r>
          </w:p>
        </w:tc>
        <w:tc>
          <w:tcPr>
            <w:tcW w:w="167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0</w:t>
            </w:r>
          </w:p>
        </w:tc>
        <w:tc>
          <w:tcPr>
            <w:tcW w:w="189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8,13</w:t>
            </w:r>
          </w:p>
        </w:tc>
        <w:tc>
          <w:tcPr>
            <w:tcW w:w="2252"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3,6</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Çin</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81</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122,96</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24,6</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Kore</w:t>
            </w:r>
          </w:p>
        </w:tc>
        <w:tc>
          <w:tcPr>
            <w:tcW w:w="167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1</w:t>
            </w:r>
          </w:p>
        </w:tc>
        <w:tc>
          <w:tcPr>
            <w:tcW w:w="189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34,17</w:t>
            </w:r>
          </w:p>
        </w:tc>
        <w:tc>
          <w:tcPr>
            <w:tcW w:w="2252"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%6,</w:t>
            </w:r>
            <w:r>
              <w:rPr>
                <w:rFonts w:ascii="Times New Roman" w:hAnsi="Times New Roman"/>
                <w:b/>
                <w:color w:val="000000" w:themeColor="text1"/>
                <w:sz w:val="24"/>
                <w:szCs w:val="24"/>
              </w:rPr>
              <w:t>8</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Türkiye (*)</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3</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18,</w:t>
            </w:r>
            <w:r>
              <w:rPr>
                <w:rFonts w:ascii="Times New Roman" w:hAnsi="Times New Roman"/>
                <w:b/>
                <w:color w:val="000000" w:themeColor="text1"/>
                <w:sz w:val="24"/>
                <w:szCs w:val="24"/>
              </w:rPr>
              <w:t>48</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3,7</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Hindistan</w:t>
            </w:r>
          </w:p>
        </w:tc>
        <w:tc>
          <w:tcPr>
            <w:tcW w:w="167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5</w:t>
            </w:r>
          </w:p>
        </w:tc>
        <w:tc>
          <w:tcPr>
            <w:tcW w:w="1895"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8,62</w:t>
            </w:r>
          </w:p>
        </w:tc>
        <w:tc>
          <w:tcPr>
            <w:tcW w:w="2252" w:type="dxa"/>
            <w:noWrap/>
            <w:hideMark/>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7</w:t>
            </w:r>
          </w:p>
        </w:tc>
      </w:tr>
      <w:tr w:rsidR="008B2F98" w:rsidRPr="00AE18B8" w:rsidTr="00F6006A">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 xml:space="preserve">Diğer </w:t>
            </w:r>
          </w:p>
        </w:tc>
        <w:tc>
          <w:tcPr>
            <w:tcW w:w="167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15</w:t>
            </w:r>
          </w:p>
        </w:tc>
        <w:tc>
          <w:tcPr>
            <w:tcW w:w="1895"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3,04</w:t>
            </w:r>
          </w:p>
        </w:tc>
        <w:tc>
          <w:tcPr>
            <w:tcW w:w="2252" w:type="dxa"/>
            <w:noWrap/>
            <w:hideMark/>
          </w:tcPr>
          <w:p w:rsidR="008B2F98" w:rsidRPr="00AE18B8" w:rsidRDefault="008B2F98" w:rsidP="00DA6F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%2,</w:t>
            </w:r>
            <w:r>
              <w:rPr>
                <w:rFonts w:ascii="Times New Roman" w:hAnsi="Times New Roman"/>
                <w:b/>
                <w:color w:val="000000" w:themeColor="text1"/>
                <w:sz w:val="24"/>
                <w:szCs w:val="24"/>
              </w:rPr>
              <w:t>6</w:t>
            </w:r>
          </w:p>
        </w:tc>
      </w:tr>
      <w:tr w:rsidR="00227E13" w:rsidRPr="00AE18B8" w:rsidTr="00F6006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tcPr>
          <w:p w:rsidR="008B2F98" w:rsidRPr="00AE18B8" w:rsidRDefault="008B2F98" w:rsidP="00DA6F15">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TOPLAM</w:t>
            </w:r>
          </w:p>
        </w:tc>
        <w:tc>
          <w:tcPr>
            <w:tcW w:w="1675" w:type="dxa"/>
            <w:noWrap/>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250</w:t>
            </w:r>
          </w:p>
        </w:tc>
        <w:tc>
          <w:tcPr>
            <w:tcW w:w="1895" w:type="dxa"/>
            <w:noWrap/>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99,62</w:t>
            </w:r>
          </w:p>
        </w:tc>
        <w:tc>
          <w:tcPr>
            <w:tcW w:w="2252" w:type="dxa"/>
            <w:noWrap/>
          </w:tcPr>
          <w:p w:rsidR="008B2F98" w:rsidRPr="00AE18B8" w:rsidRDefault="008B2F98" w:rsidP="00DA6F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%100</w:t>
            </w:r>
          </w:p>
        </w:tc>
      </w:tr>
      <w:bookmarkEnd w:id="12"/>
    </w:tbl>
    <w:p w:rsidR="00C66D58" w:rsidRDefault="00C66D58" w:rsidP="00A219F4">
      <w:pPr>
        <w:spacing w:after="200" w:line="276" w:lineRule="auto"/>
        <w:jc w:val="both"/>
        <w:rPr>
          <w:rFonts w:ascii="Times New Roman" w:hAnsi="Times New Roman" w:cs="Times New Roman"/>
          <w:b/>
          <w:sz w:val="24"/>
          <w:szCs w:val="24"/>
        </w:rPr>
      </w:pPr>
    </w:p>
    <w:p w:rsidR="00C74DD2" w:rsidRDefault="00C74DD2" w:rsidP="00A219F4">
      <w:pPr>
        <w:spacing w:after="200" w:line="276" w:lineRule="auto"/>
        <w:jc w:val="both"/>
        <w:rPr>
          <w:rFonts w:ascii="Times New Roman" w:hAnsi="Times New Roman" w:cs="Times New Roman"/>
          <w:b/>
          <w:sz w:val="24"/>
          <w:szCs w:val="24"/>
        </w:rPr>
      </w:pPr>
    </w:p>
    <w:p w:rsidR="00FD57E7" w:rsidRPr="00A219F4" w:rsidRDefault="00A219F4" w:rsidP="00A219F4">
      <w:pPr>
        <w:spacing w:after="200" w:line="276" w:lineRule="auto"/>
        <w:jc w:val="both"/>
        <w:rPr>
          <w:rFonts w:ascii="Times New Roman" w:hAnsi="Times New Roman" w:cs="Times New Roman"/>
          <w:b/>
          <w:sz w:val="24"/>
          <w:szCs w:val="24"/>
        </w:rPr>
      </w:pPr>
      <w:r w:rsidRPr="00A219F4">
        <w:rPr>
          <w:rFonts w:ascii="Times New Roman" w:hAnsi="Times New Roman" w:cs="Times New Roman"/>
          <w:b/>
          <w:sz w:val="24"/>
          <w:szCs w:val="24"/>
        </w:rPr>
        <w:t xml:space="preserve">5) SEKTÖRÜN HEDEFLERİ </w:t>
      </w:r>
    </w:p>
    <w:p w:rsidR="00F747B2" w:rsidRDefault="006F0CB6" w:rsidP="00753B9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Türk müteahhitlerinin yurt </w:t>
      </w:r>
      <w:r w:rsidR="00FD57E7" w:rsidRPr="00FD57E7">
        <w:rPr>
          <w:rFonts w:ascii="Times New Roman" w:hAnsi="Times New Roman" w:cs="Times New Roman"/>
          <w:sz w:val="24"/>
          <w:szCs w:val="24"/>
        </w:rPr>
        <w:t xml:space="preserve">dışında üstlendikleri iş hacmi 2006 yılından bu yana istikrarlı olarak 20 milyar </w:t>
      </w:r>
      <w:r w:rsidR="00F747B2">
        <w:rPr>
          <w:rFonts w:ascii="Times New Roman" w:hAnsi="Times New Roman" w:cs="Times New Roman"/>
          <w:sz w:val="24"/>
          <w:szCs w:val="24"/>
        </w:rPr>
        <w:t xml:space="preserve">doların üstünde seyretmiştir. Bununla birlikte, dünya konjonktürü kapsamında geleneksel pazarlarımızda yaşanan gelişmelere bağlı olarak </w:t>
      </w:r>
      <w:r w:rsidR="0036380E">
        <w:rPr>
          <w:rFonts w:ascii="Times New Roman" w:hAnsi="Times New Roman" w:cs="Times New Roman"/>
          <w:sz w:val="24"/>
          <w:szCs w:val="24"/>
        </w:rPr>
        <w:t xml:space="preserve">bazı yıllarda bu rakam 15-20 milyar dolar arasında gerçekleşmiştir. </w:t>
      </w:r>
      <w:r w:rsidR="00FD57E7" w:rsidRPr="00FD57E7">
        <w:rPr>
          <w:rFonts w:ascii="Times New Roman" w:hAnsi="Times New Roman" w:cs="Times New Roman"/>
          <w:sz w:val="24"/>
          <w:szCs w:val="24"/>
        </w:rPr>
        <w:t>Türk müteahh</w:t>
      </w:r>
      <w:r w:rsidR="00F747B2">
        <w:rPr>
          <w:rFonts w:ascii="Times New Roman" w:hAnsi="Times New Roman" w:cs="Times New Roman"/>
          <w:sz w:val="24"/>
          <w:szCs w:val="24"/>
        </w:rPr>
        <w:t xml:space="preserve">itlik firmalarının etkin olduğu geleneksel pazarlarımız olan </w:t>
      </w:r>
      <w:r w:rsidR="00FD57E7" w:rsidRPr="00FD57E7">
        <w:rPr>
          <w:rFonts w:ascii="Times New Roman" w:hAnsi="Times New Roman" w:cs="Times New Roman"/>
          <w:sz w:val="24"/>
          <w:szCs w:val="24"/>
        </w:rPr>
        <w:t>BDT-Orta Doğu-Körfe</w:t>
      </w:r>
      <w:r w:rsidR="00F747B2">
        <w:rPr>
          <w:rFonts w:ascii="Times New Roman" w:hAnsi="Times New Roman" w:cs="Times New Roman"/>
          <w:sz w:val="24"/>
          <w:szCs w:val="24"/>
        </w:rPr>
        <w:t>z ve Kuzey Afrika coğrafyalarının yanısıra, etkin olduğumuz</w:t>
      </w:r>
      <w:r w:rsidR="0036380E">
        <w:rPr>
          <w:rFonts w:ascii="Times New Roman" w:hAnsi="Times New Roman" w:cs="Times New Roman"/>
          <w:sz w:val="24"/>
          <w:szCs w:val="24"/>
        </w:rPr>
        <w:t xml:space="preserve"> coğrafyalara Sahra-altı Afrika, Avrupa </w:t>
      </w:r>
      <w:r w:rsidR="00F747B2">
        <w:rPr>
          <w:rFonts w:ascii="Times New Roman" w:hAnsi="Times New Roman" w:cs="Times New Roman"/>
          <w:sz w:val="24"/>
          <w:szCs w:val="24"/>
        </w:rPr>
        <w:t xml:space="preserve">ve Asya pazarlarının da eklenmesine dönük çalışmalarımız sürdürülmektedir. </w:t>
      </w:r>
    </w:p>
    <w:p w:rsidR="00C66D58" w:rsidRDefault="00FD57E7" w:rsidP="00753B9F">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Son yıllarda yaşanan gelişme ile birlikte, </w:t>
      </w:r>
      <w:r w:rsidR="00234998">
        <w:rPr>
          <w:rFonts w:ascii="Times New Roman" w:hAnsi="Times New Roman" w:cs="Times New Roman"/>
          <w:sz w:val="24"/>
          <w:szCs w:val="24"/>
        </w:rPr>
        <w:t xml:space="preserve">birçok coğrafyadan yeni ülkelerin de </w:t>
      </w:r>
      <w:r w:rsidRPr="00FD57E7">
        <w:rPr>
          <w:rFonts w:ascii="Times New Roman" w:hAnsi="Times New Roman" w:cs="Times New Roman"/>
          <w:sz w:val="24"/>
          <w:szCs w:val="24"/>
        </w:rPr>
        <w:t xml:space="preserve">eklenmesi ile </w:t>
      </w:r>
      <w:r w:rsidR="00234998">
        <w:rPr>
          <w:rFonts w:ascii="Times New Roman" w:hAnsi="Times New Roman" w:cs="Times New Roman"/>
          <w:sz w:val="24"/>
          <w:szCs w:val="24"/>
        </w:rPr>
        <w:t xml:space="preserve">birlikte </w:t>
      </w:r>
      <w:r w:rsidR="00226819">
        <w:rPr>
          <w:rFonts w:ascii="Times New Roman" w:hAnsi="Times New Roman" w:cs="Times New Roman"/>
          <w:sz w:val="24"/>
          <w:szCs w:val="24"/>
        </w:rPr>
        <w:t>1</w:t>
      </w:r>
      <w:r w:rsidR="00630EBF">
        <w:rPr>
          <w:rFonts w:ascii="Times New Roman" w:hAnsi="Times New Roman" w:cs="Times New Roman"/>
          <w:sz w:val="24"/>
          <w:szCs w:val="24"/>
        </w:rPr>
        <w:t>3</w:t>
      </w:r>
      <w:r w:rsidR="00541645">
        <w:rPr>
          <w:rFonts w:ascii="Times New Roman" w:hAnsi="Times New Roman" w:cs="Times New Roman"/>
          <w:sz w:val="24"/>
          <w:szCs w:val="24"/>
        </w:rPr>
        <w:t>7</w:t>
      </w:r>
      <w:r w:rsidR="00226819">
        <w:rPr>
          <w:rFonts w:ascii="Times New Roman" w:hAnsi="Times New Roman" w:cs="Times New Roman"/>
          <w:sz w:val="24"/>
          <w:szCs w:val="24"/>
        </w:rPr>
        <w:t xml:space="preserve"> </w:t>
      </w:r>
      <w:r w:rsidR="00234998">
        <w:rPr>
          <w:rFonts w:ascii="Times New Roman" w:hAnsi="Times New Roman" w:cs="Times New Roman"/>
          <w:sz w:val="24"/>
          <w:szCs w:val="24"/>
        </w:rPr>
        <w:t xml:space="preserve">farklı </w:t>
      </w:r>
      <w:r w:rsidRPr="00FD57E7">
        <w:rPr>
          <w:rFonts w:ascii="Times New Roman" w:hAnsi="Times New Roman" w:cs="Times New Roman"/>
          <w:sz w:val="24"/>
          <w:szCs w:val="24"/>
        </w:rPr>
        <w:t xml:space="preserve">ülkede proje üstlenen Türk müteahhitlerinin </w:t>
      </w:r>
      <w:r w:rsidR="00234998">
        <w:rPr>
          <w:rFonts w:ascii="Times New Roman" w:hAnsi="Times New Roman" w:cs="Times New Roman"/>
          <w:sz w:val="24"/>
          <w:szCs w:val="24"/>
        </w:rPr>
        <w:t xml:space="preserve">yeni pazarlarda daha fazla </w:t>
      </w:r>
      <w:r w:rsidRPr="00FD57E7">
        <w:rPr>
          <w:rFonts w:ascii="Times New Roman" w:hAnsi="Times New Roman" w:cs="Times New Roman"/>
          <w:sz w:val="24"/>
          <w:szCs w:val="24"/>
        </w:rPr>
        <w:t xml:space="preserve">yer alması ile sektöre yeni açılımlar getirilmesi yönünde çalışmalar artırılmıştır. </w:t>
      </w:r>
    </w:p>
    <w:p w:rsidR="00234998" w:rsidRDefault="00FD57E7" w:rsidP="00753B9F">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Ülkemizin Afrika Kalkınma Bankası üyeliğinin 2013 yılı sonu itibariyle tamamlanması sonrasında anılan Banka tarafından açılan ihalelere girme imkânı da potansiyelin daha etkin kullanılmasına fayda sağlayacaktır.</w:t>
      </w:r>
      <w:r w:rsidR="00C66D58">
        <w:rPr>
          <w:rFonts w:ascii="Times New Roman" w:hAnsi="Times New Roman" w:cs="Times New Roman"/>
          <w:sz w:val="24"/>
          <w:szCs w:val="24"/>
        </w:rPr>
        <w:t xml:space="preserve"> </w:t>
      </w:r>
    </w:p>
    <w:p w:rsidR="00FD57E7" w:rsidRPr="00FD57E7" w:rsidRDefault="0058565E" w:rsidP="00753B9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w:t>
      </w:r>
      <w:r w:rsidR="00234998">
        <w:rPr>
          <w:rFonts w:ascii="Times New Roman" w:hAnsi="Times New Roman" w:cs="Times New Roman"/>
          <w:sz w:val="24"/>
          <w:szCs w:val="24"/>
        </w:rPr>
        <w:t xml:space="preserve">ş üstlendiğimiz geleneksel coğrafyalarının </w:t>
      </w:r>
      <w:r w:rsidR="00023FF0">
        <w:rPr>
          <w:rFonts w:ascii="Times New Roman" w:hAnsi="Times New Roman" w:cs="Times New Roman"/>
          <w:sz w:val="24"/>
          <w:szCs w:val="24"/>
        </w:rPr>
        <w:t>yanı sıra</w:t>
      </w:r>
      <w:r w:rsidR="00234998">
        <w:rPr>
          <w:rFonts w:ascii="Times New Roman" w:hAnsi="Times New Roman" w:cs="Times New Roman"/>
          <w:sz w:val="24"/>
          <w:szCs w:val="24"/>
        </w:rPr>
        <w:t xml:space="preserve">, </w:t>
      </w:r>
      <w:r w:rsidR="00FD57E7" w:rsidRPr="00FD57E7">
        <w:rPr>
          <w:rFonts w:ascii="Times New Roman" w:hAnsi="Times New Roman" w:cs="Times New Roman"/>
          <w:sz w:val="24"/>
          <w:szCs w:val="24"/>
        </w:rPr>
        <w:t>Sahra</w:t>
      </w:r>
      <w:r w:rsidR="00F747B2">
        <w:rPr>
          <w:rFonts w:ascii="Times New Roman" w:hAnsi="Times New Roman" w:cs="Times New Roman"/>
          <w:sz w:val="24"/>
          <w:szCs w:val="24"/>
        </w:rPr>
        <w:t>-</w:t>
      </w:r>
      <w:r w:rsidR="00234998">
        <w:rPr>
          <w:rFonts w:ascii="Times New Roman" w:hAnsi="Times New Roman" w:cs="Times New Roman"/>
          <w:sz w:val="24"/>
          <w:szCs w:val="24"/>
        </w:rPr>
        <w:t xml:space="preserve">altı Afrika, Asya-Pasifik, Avrupa ve Amerika coğrafyalarına yönelik hedef ülke çalışmaları sektör kuruluşları ile eşgüdüm içerisinde gerçekleştirilmekte </w:t>
      </w:r>
      <w:r>
        <w:rPr>
          <w:rFonts w:ascii="Times New Roman" w:hAnsi="Times New Roman" w:cs="Times New Roman"/>
          <w:sz w:val="24"/>
          <w:szCs w:val="24"/>
        </w:rPr>
        <w:t xml:space="preserve">ve Bakanlığımız koordinasyonunda, </w:t>
      </w:r>
      <w:r w:rsidR="00FD57E7" w:rsidRPr="00FD57E7">
        <w:rPr>
          <w:rFonts w:ascii="Times New Roman" w:hAnsi="Times New Roman" w:cs="Times New Roman"/>
          <w:sz w:val="24"/>
          <w:szCs w:val="24"/>
        </w:rPr>
        <w:t xml:space="preserve">belirli sayıda firma temsilcisinin katılımıyla </w:t>
      </w:r>
      <w:r w:rsidR="00234998">
        <w:rPr>
          <w:rFonts w:ascii="Times New Roman" w:hAnsi="Times New Roman" w:cs="Times New Roman"/>
          <w:sz w:val="24"/>
          <w:szCs w:val="24"/>
        </w:rPr>
        <w:t xml:space="preserve">bu </w:t>
      </w:r>
      <w:r w:rsidR="00C66D58">
        <w:rPr>
          <w:rFonts w:ascii="Times New Roman" w:hAnsi="Times New Roman" w:cs="Times New Roman"/>
          <w:sz w:val="24"/>
          <w:szCs w:val="24"/>
        </w:rPr>
        <w:t>ülkelere “</w:t>
      </w:r>
      <w:r w:rsidR="00FD57E7" w:rsidRPr="00FD57E7">
        <w:rPr>
          <w:rFonts w:ascii="Times New Roman" w:hAnsi="Times New Roman" w:cs="Times New Roman"/>
          <w:sz w:val="24"/>
          <w:szCs w:val="24"/>
        </w:rPr>
        <w:t>Müteahhit</w:t>
      </w:r>
      <w:r w:rsidR="00C66D58">
        <w:rPr>
          <w:rFonts w:ascii="Times New Roman" w:hAnsi="Times New Roman" w:cs="Times New Roman"/>
          <w:sz w:val="24"/>
          <w:szCs w:val="24"/>
        </w:rPr>
        <w:t>lik Heyeti Programları</w:t>
      </w:r>
      <w:r w:rsidR="00234998">
        <w:rPr>
          <w:rFonts w:ascii="Times New Roman" w:hAnsi="Times New Roman" w:cs="Times New Roman"/>
          <w:sz w:val="24"/>
          <w:szCs w:val="24"/>
        </w:rPr>
        <w:t xml:space="preserve">” düzenlenmektedir. </w:t>
      </w:r>
    </w:p>
    <w:p w:rsidR="00FD57E7" w:rsidRDefault="00FD57E7" w:rsidP="00753B9F">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Bir başka hedef ise Türk müteahhitlik firmalarının katma değeri yüksek projelerde yer almasının temin edilmesidir. Özellikle firma ölçeklerinin büyütülmesi ile firmalarımızın ortak iş yapma bilincinin artırılması değerli ve prestijli projelerin üstlenilmesinin yolunu açacaktır. Bunun sonucunda firmalarımız uluslararası pazarlarda daha sağlam bir şekilde yer alacaktır.</w:t>
      </w:r>
    </w:p>
    <w:p w:rsidR="00F6006A" w:rsidRDefault="00F6006A" w:rsidP="00753B9F">
      <w:pPr>
        <w:spacing w:after="200" w:line="276" w:lineRule="auto"/>
        <w:jc w:val="both"/>
        <w:rPr>
          <w:rFonts w:ascii="Times New Roman" w:hAnsi="Times New Roman" w:cs="Times New Roman"/>
          <w:sz w:val="24"/>
          <w:szCs w:val="24"/>
        </w:rPr>
      </w:pPr>
    </w:p>
    <w:p w:rsidR="00F6006A" w:rsidRDefault="00F6006A" w:rsidP="00753B9F">
      <w:pPr>
        <w:spacing w:after="200" w:line="276" w:lineRule="auto"/>
        <w:jc w:val="both"/>
        <w:rPr>
          <w:rFonts w:ascii="Times New Roman" w:hAnsi="Times New Roman" w:cs="Times New Roman"/>
          <w:sz w:val="24"/>
          <w:szCs w:val="24"/>
        </w:rPr>
      </w:pPr>
    </w:p>
    <w:p w:rsidR="00F6006A" w:rsidRPr="00FD57E7" w:rsidRDefault="00F6006A" w:rsidP="00753B9F">
      <w:pPr>
        <w:spacing w:after="200" w:line="276" w:lineRule="auto"/>
        <w:jc w:val="both"/>
        <w:rPr>
          <w:rFonts w:ascii="Times New Roman" w:hAnsi="Times New Roman" w:cs="Times New Roman"/>
          <w:sz w:val="24"/>
          <w:szCs w:val="24"/>
        </w:rPr>
      </w:pPr>
    </w:p>
    <w:p w:rsidR="00FD57E7" w:rsidRPr="00A219F4" w:rsidRDefault="00A219F4" w:rsidP="00A219F4">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FD57E7">
        <w:rPr>
          <w:rFonts w:ascii="Times New Roman" w:hAnsi="Times New Roman" w:cs="Times New Roman"/>
          <w:b/>
          <w:sz w:val="24"/>
          <w:szCs w:val="24"/>
        </w:rPr>
        <w:t xml:space="preserve">SEKTÖRÜN EKONOMİYE ETKİSİ </w:t>
      </w:r>
    </w:p>
    <w:p w:rsidR="00FD57E7" w:rsidRPr="00FD57E7" w:rsidRDefault="006F0CB6" w:rsidP="00753B9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Yurt D</w:t>
      </w:r>
      <w:r w:rsidR="00FD57E7" w:rsidRPr="00FD57E7">
        <w:rPr>
          <w:rFonts w:ascii="Times New Roman" w:hAnsi="Times New Roman" w:cs="Times New Roman"/>
          <w:sz w:val="24"/>
          <w:szCs w:val="24"/>
        </w:rPr>
        <w:t xml:space="preserve">ışı Müteahhitlik Hizmetleri Sektörünün rekabet gücüne, milli gelire, ödemeler dengesine, ihracata ve istihdama sağladığı katkı ve sürdürülebilir büyüme açısından önemi dikkate alındığında, ülke ekonomisinin lokomotif sektörlerinden biri olduğu müşahede edilmektedir. Yurt Dışı Müteahhitlik Hizmetleri Sektörünün Türk ekonomisine doğrudan ve dolaylı katkısını 6 ana başlık altında özetlemek mümkündür: </w:t>
      </w:r>
      <w:r w:rsidR="00FD57E7" w:rsidRPr="00A219F4">
        <w:rPr>
          <w:rFonts w:ascii="Times New Roman" w:hAnsi="Times New Roman" w:cs="Times New Roman"/>
          <w:sz w:val="24"/>
          <w:szCs w:val="24"/>
        </w:rPr>
        <w:t>Döviz girdisi, ihracata katkısı, istihdama katkısı, teknoloji transferi, makine parkına etkisi, dışa açılma sürecine etkisi</w:t>
      </w:r>
      <w:r w:rsidR="00FD57E7" w:rsidRPr="00FD57E7">
        <w:rPr>
          <w:rFonts w:ascii="Times New Roman" w:hAnsi="Times New Roman" w:cs="Times New Roman"/>
          <w:sz w:val="24"/>
          <w:szCs w:val="24"/>
        </w:rPr>
        <w:t xml:space="preserve">. </w:t>
      </w:r>
    </w:p>
    <w:p w:rsidR="00FD57E7" w:rsidRPr="00FD57E7" w:rsidRDefault="00FD57E7" w:rsidP="00753B9F">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Ülkemize net döviz girdisi sağlayan ve önemli hizme</w:t>
      </w:r>
      <w:r w:rsidR="006F0CB6">
        <w:rPr>
          <w:rFonts w:ascii="Times New Roman" w:hAnsi="Times New Roman" w:cs="Times New Roman"/>
          <w:sz w:val="24"/>
          <w:szCs w:val="24"/>
        </w:rPr>
        <w:t xml:space="preserve">t ihraç kalemlerinden olan yurt </w:t>
      </w:r>
      <w:r w:rsidRPr="00FD57E7">
        <w:rPr>
          <w:rFonts w:ascii="Times New Roman" w:hAnsi="Times New Roman" w:cs="Times New Roman"/>
          <w:sz w:val="24"/>
          <w:szCs w:val="24"/>
        </w:rPr>
        <w:t>dışı müteahhitlik hizmetleri sektörü, ödemeler dengesi içerisinde, sadece inşaat kalemi altında değil, lojistik, işçi gelirleri ve ihracat kalemleri altında da ülkemize ciddi gelir kaynakları yaratmaktadır. Sektör, ayrıca, teknoloji transferine imkân sağlamakta olup, makine parkının gelişmesine ve diğer sektörlerin dışa açılmasına katkıda bulunmaktadır.</w:t>
      </w:r>
    </w:p>
    <w:p w:rsidR="00816EFC" w:rsidRPr="00C66D58" w:rsidRDefault="00F76613" w:rsidP="00753B9F">
      <w:pPr>
        <w:spacing w:after="200" w:line="276" w:lineRule="auto"/>
        <w:jc w:val="both"/>
        <w:rPr>
          <w:rFonts w:ascii="Times New Roman" w:hAnsi="Times New Roman" w:cs="Times New Roman"/>
          <w:sz w:val="24"/>
          <w:szCs w:val="24"/>
        </w:rPr>
      </w:pPr>
      <w:bookmarkStart w:id="13" w:name="OLE_LINK10"/>
      <w:bookmarkStart w:id="14" w:name="OLE_LINK9"/>
      <w:r w:rsidRPr="00A337DB">
        <w:rPr>
          <w:rFonts w:ascii="Times New Roman" w:hAnsi="Times New Roman" w:cs="Times New Roman"/>
          <w:sz w:val="24"/>
          <w:szCs w:val="24"/>
        </w:rPr>
        <w:t>Yurt</w:t>
      </w:r>
      <w:r w:rsidR="006F0CB6">
        <w:rPr>
          <w:rFonts w:ascii="Times New Roman" w:hAnsi="Times New Roman" w:cs="Times New Roman"/>
          <w:sz w:val="24"/>
          <w:szCs w:val="24"/>
        </w:rPr>
        <w:t xml:space="preserve"> </w:t>
      </w:r>
      <w:r w:rsidR="00FD57E7" w:rsidRPr="00A337DB">
        <w:rPr>
          <w:rFonts w:ascii="Times New Roman" w:hAnsi="Times New Roman" w:cs="Times New Roman"/>
          <w:sz w:val="24"/>
          <w:szCs w:val="24"/>
        </w:rPr>
        <w:t xml:space="preserve">dışı müteahhitlik sektörü tarafından yoğun olarak faaliyet gösterilen pazarlar inşaat malzemeleri ihracatımızı doğrudan etkilemektedir. </w:t>
      </w:r>
      <w:r w:rsidR="00B817F1" w:rsidRPr="007460CF">
        <w:rPr>
          <w:rFonts w:ascii="Times New Roman" w:hAnsi="Times New Roman" w:cs="Times New Roman"/>
          <w:sz w:val="24"/>
          <w:szCs w:val="24"/>
        </w:rPr>
        <w:t>202</w:t>
      </w:r>
      <w:r w:rsidR="005D277A">
        <w:rPr>
          <w:rFonts w:ascii="Times New Roman" w:hAnsi="Times New Roman" w:cs="Times New Roman"/>
          <w:sz w:val="24"/>
          <w:szCs w:val="24"/>
        </w:rPr>
        <w:t>3</w:t>
      </w:r>
      <w:r w:rsidR="007460CF" w:rsidRPr="007460CF">
        <w:rPr>
          <w:rFonts w:ascii="Times New Roman" w:hAnsi="Times New Roman" w:cs="Times New Roman"/>
          <w:sz w:val="24"/>
          <w:szCs w:val="24"/>
        </w:rPr>
        <w:t xml:space="preserve"> yılında </w:t>
      </w:r>
      <w:r w:rsidR="00FD57E7" w:rsidRPr="007460CF">
        <w:rPr>
          <w:rFonts w:ascii="Times New Roman" w:hAnsi="Times New Roman" w:cs="Times New Roman"/>
          <w:sz w:val="24"/>
          <w:szCs w:val="24"/>
        </w:rPr>
        <w:t xml:space="preserve">inşaat malzemeleri ihracatımız </w:t>
      </w:r>
      <w:r w:rsidR="007460CF" w:rsidRPr="007460CF">
        <w:rPr>
          <w:rFonts w:ascii="Times New Roman" w:hAnsi="Times New Roman" w:cs="Times New Roman"/>
          <w:sz w:val="24"/>
          <w:szCs w:val="24"/>
        </w:rPr>
        <w:t>3</w:t>
      </w:r>
      <w:r w:rsidR="005D277A">
        <w:rPr>
          <w:rFonts w:ascii="Times New Roman" w:hAnsi="Times New Roman" w:cs="Times New Roman"/>
          <w:sz w:val="24"/>
          <w:szCs w:val="24"/>
        </w:rPr>
        <w:t>0,4</w:t>
      </w:r>
      <w:r w:rsidR="007460CF" w:rsidRPr="007460CF">
        <w:rPr>
          <w:rFonts w:ascii="Times New Roman" w:hAnsi="Times New Roman" w:cs="Times New Roman"/>
          <w:sz w:val="24"/>
          <w:szCs w:val="24"/>
        </w:rPr>
        <w:t xml:space="preserve"> </w:t>
      </w:r>
      <w:r w:rsidR="00FD57E7" w:rsidRPr="007460CF">
        <w:rPr>
          <w:rFonts w:ascii="Times New Roman" w:hAnsi="Times New Roman" w:cs="Times New Roman"/>
          <w:sz w:val="24"/>
          <w:szCs w:val="24"/>
        </w:rPr>
        <w:t>milyar dolar seviyesin</w:t>
      </w:r>
      <w:r w:rsidR="005D277A">
        <w:rPr>
          <w:rFonts w:ascii="Times New Roman" w:hAnsi="Times New Roman" w:cs="Times New Roman"/>
          <w:sz w:val="24"/>
          <w:szCs w:val="24"/>
        </w:rPr>
        <w:t>de gerçekleşmiştir</w:t>
      </w:r>
      <w:r w:rsidR="00FD57E7" w:rsidRPr="007460CF">
        <w:rPr>
          <w:rFonts w:ascii="Times New Roman" w:hAnsi="Times New Roman" w:cs="Times New Roman"/>
          <w:sz w:val="24"/>
          <w:szCs w:val="24"/>
        </w:rPr>
        <w:t>.</w:t>
      </w:r>
      <w:bookmarkEnd w:id="13"/>
      <w:bookmarkEnd w:id="14"/>
    </w:p>
    <w:sectPr w:rsidR="00816EFC" w:rsidRPr="00C66D58" w:rsidSect="002C1F0A">
      <w:footerReference w:type="default" r:id="rId9"/>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C78" w:rsidRDefault="00472C78" w:rsidP="00F72131">
      <w:pPr>
        <w:spacing w:after="0" w:line="240" w:lineRule="auto"/>
      </w:pPr>
      <w:r>
        <w:separator/>
      </w:r>
    </w:p>
  </w:endnote>
  <w:endnote w:type="continuationSeparator" w:id="0">
    <w:p w:rsidR="00472C78" w:rsidRDefault="00472C78" w:rsidP="00F7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654628"/>
      <w:docPartObj>
        <w:docPartGallery w:val="Page Numbers (Bottom of Page)"/>
        <w:docPartUnique/>
      </w:docPartObj>
    </w:sdtPr>
    <w:sdtEndPr/>
    <w:sdtContent>
      <w:p w:rsidR="00DA6F15" w:rsidRDefault="00DA6F15">
        <w:pPr>
          <w:pStyle w:val="AltBilgi"/>
        </w:pPr>
        <w:r w:rsidRPr="00367319">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7" name="Aşağı Bükülmüş Şeri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DA6F15" w:rsidRDefault="00DA6F15">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şağı Bükülmüş Şerit 7"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" filled="f" fillcolor="#17365d" strokecolor="#71a0dc">
                  <v:textbox>
                    <w:txbxContent>
                      <w:p w:rsidR="00DA6F15" w:rsidRDefault="00DA6F15">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C78" w:rsidRDefault="00472C78" w:rsidP="00F72131">
      <w:pPr>
        <w:spacing w:after="0" w:line="240" w:lineRule="auto"/>
      </w:pPr>
      <w:r>
        <w:separator/>
      </w:r>
    </w:p>
  </w:footnote>
  <w:footnote w:type="continuationSeparator" w:id="0">
    <w:p w:rsidR="00472C78" w:rsidRDefault="00472C78" w:rsidP="00F72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C7E5C"/>
    <w:multiLevelType w:val="hybridMultilevel"/>
    <w:tmpl w:val="EEDAC1DE"/>
    <w:lvl w:ilvl="0" w:tplc="C3F4085A">
      <w:start w:val="1"/>
      <w:numFmt w:val="decimal"/>
      <w:lvlText w:val="%1."/>
      <w:lvlJc w:val="left"/>
      <w:pPr>
        <w:ind w:left="360" w:hanging="360"/>
      </w:pPr>
      <w:rPr>
        <w:b/>
        <w:sz w:val="24"/>
        <w:szCs w:val="24"/>
      </w:rPr>
    </w:lvl>
    <w:lvl w:ilvl="1" w:tplc="37D8A8BA">
      <w:start w:val="1"/>
      <w:numFmt w:val="lowerLetter"/>
      <w:lvlText w:val="%2."/>
      <w:lvlJc w:val="left"/>
      <w:pPr>
        <w:ind w:left="644" w:hanging="360"/>
      </w:pPr>
      <w:rPr>
        <w:b/>
        <w:i w:val="0"/>
      </w:rPr>
    </w:lvl>
    <w:lvl w:ilvl="2" w:tplc="EE1E7E7A">
      <w:start w:val="1"/>
      <w:numFmt w:val="lowerRoman"/>
      <w:lvlText w:val="%3."/>
      <w:lvlJc w:val="right"/>
      <w:pPr>
        <w:ind w:left="1800" w:hanging="180"/>
      </w:pPr>
      <w:rPr>
        <w:b/>
      </w:rPr>
    </w:lvl>
    <w:lvl w:ilvl="3" w:tplc="01A43468">
      <w:start w:val="5"/>
      <w:numFmt w:val="bullet"/>
      <w:lvlText w:val=""/>
      <w:lvlJc w:val="left"/>
      <w:pPr>
        <w:ind w:left="2520" w:hanging="360"/>
      </w:pPr>
      <w:rPr>
        <w:rFonts w:ascii="Symbol" w:eastAsia="Times New Roman" w:hAnsi="Symbol" w:cs="Times New Roman" w:hint="default"/>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2A"/>
    <w:rsid w:val="00002AE9"/>
    <w:rsid w:val="00004829"/>
    <w:rsid w:val="00006066"/>
    <w:rsid w:val="000103EC"/>
    <w:rsid w:val="00015CA6"/>
    <w:rsid w:val="000236DD"/>
    <w:rsid w:val="00023FF0"/>
    <w:rsid w:val="00024D22"/>
    <w:rsid w:val="000262B8"/>
    <w:rsid w:val="000266E2"/>
    <w:rsid w:val="0003074D"/>
    <w:rsid w:val="00044A47"/>
    <w:rsid w:val="00050C2F"/>
    <w:rsid w:val="000517E5"/>
    <w:rsid w:val="0005199F"/>
    <w:rsid w:val="000526AC"/>
    <w:rsid w:val="0005287E"/>
    <w:rsid w:val="000605D4"/>
    <w:rsid w:val="00060691"/>
    <w:rsid w:val="00061F42"/>
    <w:rsid w:val="00064CBF"/>
    <w:rsid w:val="00066904"/>
    <w:rsid w:val="00074906"/>
    <w:rsid w:val="00076F62"/>
    <w:rsid w:val="00081E7E"/>
    <w:rsid w:val="0008206F"/>
    <w:rsid w:val="00083308"/>
    <w:rsid w:val="000862E0"/>
    <w:rsid w:val="0009359A"/>
    <w:rsid w:val="00097900"/>
    <w:rsid w:val="000A1C1C"/>
    <w:rsid w:val="000A2908"/>
    <w:rsid w:val="000A4F37"/>
    <w:rsid w:val="000A511E"/>
    <w:rsid w:val="000A5144"/>
    <w:rsid w:val="000A5625"/>
    <w:rsid w:val="000A6B58"/>
    <w:rsid w:val="000A6FD4"/>
    <w:rsid w:val="000A7DAB"/>
    <w:rsid w:val="000B6AA5"/>
    <w:rsid w:val="000C491A"/>
    <w:rsid w:val="000D29D5"/>
    <w:rsid w:val="000D42A3"/>
    <w:rsid w:val="000D55D1"/>
    <w:rsid w:val="000D5E67"/>
    <w:rsid w:val="000D6E14"/>
    <w:rsid w:val="000E6985"/>
    <w:rsid w:val="000E7CEA"/>
    <w:rsid w:val="000F49F7"/>
    <w:rsid w:val="000F76DD"/>
    <w:rsid w:val="0010495E"/>
    <w:rsid w:val="00104B89"/>
    <w:rsid w:val="001117F7"/>
    <w:rsid w:val="00111E05"/>
    <w:rsid w:val="0011475C"/>
    <w:rsid w:val="00117E19"/>
    <w:rsid w:val="00117F01"/>
    <w:rsid w:val="00127626"/>
    <w:rsid w:val="00131FBC"/>
    <w:rsid w:val="001340D4"/>
    <w:rsid w:val="00135FD7"/>
    <w:rsid w:val="00143A4A"/>
    <w:rsid w:val="00145B57"/>
    <w:rsid w:val="00146BFE"/>
    <w:rsid w:val="001516F0"/>
    <w:rsid w:val="00155B38"/>
    <w:rsid w:val="001573E9"/>
    <w:rsid w:val="001579B7"/>
    <w:rsid w:val="00160109"/>
    <w:rsid w:val="00160FAC"/>
    <w:rsid w:val="00171015"/>
    <w:rsid w:val="00173A7C"/>
    <w:rsid w:val="00176AC6"/>
    <w:rsid w:val="00177349"/>
    <w:rsid w:val="00187427"/>
    <w:rsid w:val="001904C5"/>
    <w:rsid w:val="00192861"/>
    <w:rsid w:val="00192C80"/>
    <w:rsid w:val="00193195"/>
    <w:rsid w:val="001A255E"/>
    <w:rsid w:val="001B174B"/>
    <w:rsid w:val="001B1F8D"/>
    <w:rsid w:val="001C0049"/>
    <w:rsid w:val="001C1548"/>
    <w:rsid w:val="001C1B7B"/>
    <w:rsid w:val="001C5C40"/>
    <w:rsid w:val="001C637E"/>
    <w:rsid w:val="001D45CA"/>
    <w:rsid w:val="001D4CFD"/>
    <w:rsid w:val="001D6B5B"/>
    <w:rsid w:val="001E22E9"/>
    <w:rsid w:val="001E2385"/>
    <w:rsid w:val="001E24D0"/>
    <w:rsid w:val="001E3B87"/>
    <w:rsid w:val="001E725F"/>
    <w:rsid w:val="001E7364"/>
    <w:rsid w:val="001F25D9"/>
    <w:rsid w:val="00203F07"/>
    <w:rsid w:val="00205CEB"/>
    <w:rsid w:val="00212B02"/>
    <w:rsid w:val="00214182"/>
    <w:rsid w:val="0022001C"/>
    <w:rsid w:val="00221E39"/>
    <w:rsid w:val="00223230"/>
    <w:rsid w:val="00225412"/>
    <w:rsid w:val="00226819"/>
    <w:rsid w:val="00227E13"/>
    <w:rsid w:val="00233163"/>
    <w:rsid w:val="00234998"/>
    <w:rsid w:val="00250431"/>
    <w:rsid w:val="00250B3F"/>
    <w:rsid w:val="00252448"/>
    <w:rsid w:val="002530A8"/>
    <w:rsid w:val="00255EA1"/>
    <w:rsid w:val="00262BBD"/>
    <w:rsid w:val="00262F55"/>
    <w:rsid w:val="00263E22"/>
    <w:rsid w:val="00265B0A"/>
    <w:rsid w:val="002673A0"/>
    <w:rsid w:val="00270631"/>
    <w:rsid w:val="002722F9"/>
    <w:rsid w:val="002730DF"/>
    <w:rsid w:val="0027476F"/>
    <w:rsid w:val="002764DA"/>
    <w:rsid w:val="0028365D"/>
    <w:rsid w:val="00283AF6"/>
    <w:rsid w:val="0028563A"/>
    <w:rsid w:val="00291A76"/>
    <w:rsid w:val="0029286E"/>
    <w:rsid w:val="00295AE5"/>
    <w:rsid w:val="002A1ED5"/>
    <w:rsid w:val="002A200E"/>
    <w:rsid w:val="002A56C6"/>
    <w:rsid w:val="002A71DF"/>
    <w:rsid w:val="002B1D44"/>
    <w:rsid w:val="002B5956"/>
    <w:rsid w:val="002C1F0A"/>
    <w:rsid w:val="002C6119"/>
    <w:rsid w:val="002D30A4"/>
    <w:rsid w:val="002D4777"/>
    <w:rsid w:val="002D4F82"/>
    <w:rsid w:val="002D4FD2"/>
    <w:rsid w:val="002D5797"/>
    <w:rsid w:val="002E204B"/>
    <w:rsid w:val="002E4F76"/>
    <w:rsid w:val="002F272A"/>
    <w:rsid w:val="00303C97"/>
    <w:rsid w:val="00306321"/>
    <w:rsid w:val="003076DB"/>
    <w:rsid w:val="003112B0"/>
    <w:rsid w:val="0031316E"/>
    <w:rsid w:val="0031505D"/>
    <w:rsid w:val="00315837"/>
    <w:rsid w:val="0032284C"/>
    <w:rsid w:val="003228DB"/>
    <w:rsid w:val="003261B6"/>
    <w:rsid w:val="00326434"/>
    <w:rsid w:val="00330ECC"/>
    <w:rsid w:val="00335280"/>
    <w:rsid w:val="00336CB1"/>
    <w:rsid w:val="00337221"/>
    <w:rsid w:val="003379A6"/>
    <w:rsid w:val="003406F4"/>
    <w:rsid w:val="00340A9E"/>
    <w:rsid w:val="003416EC"/>
    <w:rsid w:val="003446DD"/>
    <w:rsid w:val="003469AB"/>
    <w:rsid w:val="00356DB8"/>
    <w:rsid w:val="00361B70"/>
    <w:rsid w:val="0036380E"/>
    <w:rsid w:val="00365AB0"/>
    <w:rsid w:val="00365D57"/>
    <w:rsid w:val="00367319"/>
    <w:rsid w:val="00371F87"/>
    <w:rsid w:val="00384B78"/>
    <w:rsid w:val="003869B2"/>
    <w:rsid w:val="00391193"/>
    <w:rsid w:val="003922AB"/>
    <w:rsid w:val="003A2150"/>
    <w:rsid w:val="003B07A0"/>
    <w:rsid w:val="003B21CF"/>
    <w:rsid w:val="003B4277"/>
    <w:rsid w:val="003C2AF5"/>
    <w:rsid w:val="003C66AF"/>
    <w:rsid w:val="003D25A7"/>
    <w:rsid w:val="003D2BB9"/>
    <w:rsid w:val="003D6F9C"/>
    <w:rsid w:val="003E009C"/>
    <w:rsid w:val="003E7209"/>
    <w:rsid w:val="003F0F3F"/>
    <w:rsid w:val="003F19E1"/>
    <w:rsid w:val="003F41E2"/>
    <w:rsid w:val="003F6FF7"/>
    <w:rsid w:val="0040135B"/>
    <w:rsid w:val="00402168"/>
    <w:rsid w:val="004034AE"/>
    <w:rsid w:val="00403D95"/>
    <w:rsid w:val="00405E4E"/>
    <w:rsid w:val="00406259"/>
    <w:rsid w:val="004075F8"/>
    <w:rsid w:val="00416FC9"/>
    <w:rsid w:val="00437393"/>
    <w:rsid w:val="00441969"/>
    <w:rsid w:val="00441A42"/>
    <w:rsid w:val="00441D77"/>
    <w:rsid w:val="00442496"/>
    <w:rsid w:val="00447B6C"/>
    <w:rsid w:val="00450361"/>
    <w:rsid w:val="00451BA3"/>
    <w:rsid w:val="004531C6"/>
    <w:rsid w:val="00453968"/>
    <w:rsid w:val="004616C6"/>
    <w:rsid w:val="00461CE3"/>
    <w:rsid w:val="00464EA2"/>
    <w:rsid w:val="00465D02"/>
    <w:rsid w:val="004668B0"/>
    <w:rsid w:val="00472C78"/>
    <w:rsid w:val="00473780"/>
    <w:rsid w:val="00474D7D"/>
    <w:rsid w:val="00476684"/>
    <w:rsid w:val="00482B24"/>
    <w:rsid w:val="004831D9"/>
    <w:rsid w:val="00483C50"/>
    <w:rsid w:val="00490BC2"/>
    <w:rsid w:val="004923B4"/>
    <w:rsid w:val="00495742"/>
    <w:rsid w:val="004A4BDD"/>
    <w:rsid w:val="004A5207"/>
    <w:rsid w:val="004A5CEE"/>
    <w:rsid w:val="004B67D1"/>
    <w:rsid w:val="004C28AA"/>
    <w:rsid w:val="004C315F"/>
    <w:rsid w:val="004C33F5"/>
    <w:rsid w:val="004D3993"/>
    <w:rsid w:val="004D57DD"/>
    <w:rsid w:val="004D5BA8"/>
    <w:rsid w:val="004D6D1F"/>
    <w:rsid w:val="004E06E6"/>
    <w:rsid w:val="004E1A94"/>
    <w:rsid w:val="004E3D92"/>
    <w:rsid w:val="004E6A30"/>
    <w:rsid w:val="004E7B1A"/>
    <w:rsid w:val="004E7F5C"/>
    <w:rsid w:val="004F0C27"/>
    <w:rsid w:val="004F380E"/>
    <w:rsid w:val="004F6C18"/>
    <w:rsid w:val="00502325"/>
    <w:rsid w:val="00504D6B"/>
    <w:rsid w:val="00506C31"/>
    <w:rsid w:val="005102EE"/>
    <w:rsid w:val="005106ED"/>
    <w:rsid w:val="00512054"/>
    <w:rsid w:val="00522395"/>
    <w:rsid w:val="00524D78"/>
    <w:rsid w:val="00530E6D"/>
    <w:rsid w:val="00534EDF"/>
    <w:rsid w:val="00541645"/>
    <w:rsid w:val="00552CA4"/>
    <w:rsid w:val="00564147"/>
    <w:rsid w:val="00565602"/>
    <w:rsid w:val="00573B79"/>
    <w:rsid w:val="005742AB"/>
    <w:rsid w:val="005762C0"/>
    <w:rsid w:val="00576EA2"/>
    <w:rsid w:val="005816A6"/>
    <w:rsid w:val="00582562"/>
    <w:rsid w:val="0058565E"/>
    <w:rsid w:val="005909DC"/>
    <w:rsid w:val="005917F6"/>
    <w:rsid w:val="005A1AF5"/>
    <w:rsid w:val="005A1B0F"/>
    <w:rsid w:val="005A1F8C"/>
    <w:rsid w:val="005A794A"/>
    <w:rsid w:val="005B6BF8"/>
    <w:rsid w:val="005C0602"/>
    <w:rsid w:val="005C382A"/>
    <w:rsid w:val="005C3CE8"/>
    <w:rsid w:val="005D0B91"/>
    <w:rsid w:val="005D277A"/>
    <w:rsid w:val="005D49CF"/>
    <w:rsid w:val="005D695F"/>
    <w:rsid w:val="005D701B"/>
    <w:rsid w:val="005E10B0"/>
    <w:rsid w:val="005E51DD"/>
    <w:rsid w:val="005E6DAA"/>
    <w:rsid w:val="005E7240"/>
    <w:rsid w:val="005F026E"/>
    <w:rsid w:val="005F1E61"/>
    <w:rsid w:val="005F46E8"/>
    <w:rsid w:val="005F5619"/>
    <w:rsid w:val="00600C3D"/>
    <w:rsid w:val="00602372"/>
    <w:rsid w:val="006050C9"/>
    <w:rsid w:val="00605A4F"/>
    <w:rsid w:val="0061057B"/>
    <w:rsid w:val="00612F11"/>
    <w:rsid w:val="00616137"/>
    <w:rsid w:val="00616420"/>
    <w:rsid w:val="00623ACC"/>
    <w:rsid w:val="00624857"/>
    <w:rsid w:val="00627F32"/>
    <w:rsid w:val="00630EBF"/>
    <w:rsid w:val="00637433"/>
    <w:rsid w:val="00643858"/>
    <w:rsid w:val="00656431"/>
    <w:rsid w:val="00663BC9"/>
    <w:rsid w:val="00664896"/>
    <w:rsid w:val="006651F6"/>
    <w:rsid w:val="006673F5"/>
    <w:rsid w:val="00673068"/>
    <w:rsid w:val="006803C0"/>
    <w:rsid w:val="00691738"/>
    <w:rsid w:val="006A12AA"/>
    <w:rsid w:val="006C0E66"/>
    <w:rsid w:val="006C105B"/>
    <w:rsid w:val="006D3B5F"/>
    <w:rsid w:val="006E24A3"/>
    <w:rsid w:val="006E7B92"/>
    <w:rsid w:val="006E7D33"/>
    <w:rsid w:val="006F0CB6"/>
    <w:rsid w:val="0070112A"/>
    <w:rsid w:val="00706884"/>
    <w:rsid w:val="00713539"/>
    <w:rsid w:val="00714DFA"/>
    <w:rsid w:val="00714FA3"/>
    <w:rsid w:val="00715522"/>
    <w:rsid w:val="007163F3"/>
    <w:rsid w:val="00717AFC"/>
    <w:rsid w:val="00723CD4"/>
    <w:rsid w:val="0072515E"/>
    <w:rsid w:val="0072696B"/>
    <w:rsid w:val="007367D7"/>
    <w:rsid w:val="0073694D"/>
    <w:rsid w:val="007442C8"/>
    <w:rsid w:val="00744BCE"/>
    <w:rsid w:val="00744E86"/>
    <w:rsid w:val="00745D66"/>
    <w:rsid w:val="007460CF"/>
    <w:rsid w:val="00753B9F"/>
    <w:rsid w:val="0075683F"/>
    <w:rsid w:val="00757E52"/>
    <w:rsid w:val="0076133F"/>
    <w:rsid w:val="00761E90"/>
    <w:rsid w:val="00762981"/>
    <w:rsid w:val="00762BF0"/>
    <w:rsid w:val="00763746"/>
    <w:rsid w:val="007639E0"/>
    <w:rsid w:val="007661F0"/>
    <w:rsid w:val="00772411"/>
    <w:rsid w:val="007733CF"/>
    <w:rsid w:val="00777543"/>
    <w:rsid w:val="00780903"/>
    <w:rsid w:val="00781B1C"/>
    <w:rsid w:val="00781EED"/>
    <w:rsid w:val="007869B3"/>
    <w:rsid w:val="00792444"/>
    <w:rsid w:val="0079258D"/>
    <w:rsid w:val="007948FF"/>
    <w:rsid w:val="007A117D"/>
    <w:rsid w:val="007A1193"/>
    <w:rsid w:val="007A1346"/>
    <w:rsid w:val="007A21F4"/>
    <w:rsid w:val="007A21FA"/>
    <w:rsid w:val="007A3269"/>
    <w:rsid w:val="007A5A88"/>
    <w:rsid w:val="007B277C"/>
    <w:rsid w:val="007B4457"/>
    <w:rsid w:val="007C4C3C"/>
    <w:rsid w:val="007C7CA9"/>
    <w:rsid w:val="007D3E62"/>
    <w:rsid w:val="007D7027"/>
    <w:rsid w:val="007E1E21"/>
    <w:rsid w:val="007E2D3C"/>
    <w:rsid w:val="007F424C"/>
    <w:rsid w:val="007F5246"/>
    <w:rsid w:val="0080267C"/>
    <w:rsid w:val="00806156"/>
    <w:rsid w:val="00806962"/>
    <w:rsid w:val="00813D2F"/>
    <w:rsid w:val="0081518C"/>
    <w:rsid w:val="0081632B"/>
    <w:rsid w:val="00816359"/>
    <w:rsid w:val="00816EFC"/>
    <w:rsid w:val="00820D4C"/>
    <w:rsid w:val="0082552E"/>
    <w:rsid w:val="00830AFD"/>
    <w:rsid w:val="008315E9"/>
    <w:rsid w:val="008329EE"/>
    <w:rsid w:val="00837BF0"/>
    <w:rsid w:val="00843477"/>
    <w:rsid w:val="0084582C"/>
    <w:rsid w:val="00845912"/>
    <w:rsid w:val="00853CB0"/>
    <w:rsid w:val="00856CF1"/>
    <w:rsid w:val="00862BE3"/>
    <w:rsid w:val="0086675A"/>
    <w:rsid w:val="0087373C"/>
    <w:rsid w:val="00875D05"/>
    <w:rsid w:val="00876535"/>
    <w:rsid w:val="0088018A"/>
    <w:rsid w:val="008825B6"/>
    <w:rsid w:val="0089003D"/>
    <w:rsid w:val="00890A24"/>
    <w:rsid w:val="0089637B"/>
    <w:rsid w:val="008A0A50"/>
    <w:rsid w:val="008A1FC9"/>
    <w:rsid w:val="008B19C4"/>
    <w:rsid w:val="008B2716"/>
    <w:rsid w:val="008B2F98"/>
    <w:rsid w:val="008C10E6"/>
    <w:rsid w:val="008C111D"/>
    <w:rsid w:val="008C254A"/>
    <w:rsid w:val="008C653D"/>
    <w:rsid w:val="008C7077"/>
    <w:rsid w:val="008D5346"/>
    <w:rsid w:val="008D55C9"/>
    <w:rsid w:val="008F135C"/>
    <w:rsid w:val="008F3D12"/>
    <w:rsid w:val="008F56D8"/>
    <w:rsid w:val="00907DDD"/>
    <w:rsid w:val="00910F4B"/>
    <w:rsid w:val="00912AC2"/>
    <w:rsid w:val="00913813"/>
    <w:rsid w:val="009138C6"/>
    <w:rsid w:val="00924B1B"/>
    <w:rsid w:val="009257ED"/>
    <w:rsid w:val="00926687"/>
    <w:rsid w:val="00926999"/>
    <w:rsid w:val="00933A77"/>
    <w:rsid w:val="00935926"/>
    <w:rsid w:val="00936AB0"/>
    <w:rsid w:val="00942853"/>
    <w:rsid w:val="0094596E"/>
    <w:rsid w:val="0095473D"/>
    <w:rsid w:val="00957299"/>
    <w:rsid w:val="009575ED"/>
    <w:rsid w:val="0096335A"/>
    <w:rsid w:val="00966FF8"/>
    <w:rsid w:val="00970726"/>
    <w:rsid w:val="00972344"/>
    <w:rsid w:val="009724F5"/>
    <w:rsid w:val="0097550B"/>
    <w:rsid w:val="0098552D"/>
    <w:rsid w:val="00987D37"/>
    <w:rsid w:val="00987EC3"/>
    <w:rsid w:val="0099462D"/>
    <w:rsid w:val="009947BB"/>
    <w:rsid w:val="009948F8"/>
    <w:rsid w:val="009A24F0"/>
    <w:rsid w:val="009A728D"/>
    <w:rsid w:val="009B4BC1"/>
    <w:rsid w:val="009C2C29"/>
    <w:rsid w:val="009D342E"/>
    <w:rsid w:val="009D3A39"/>
    <w:rsid w:val="009D59B3"/>
    <w:rsid w:val="009E34E4"/>
    <w:rsid w:val="009E39CE"/>
    <w:rsid w:val="009E5AA0"/>
    <w:rsid w:val="009F08D1"/>
    <w:rsid w:val="009F5720"/>
    <w:rsid w:val="009F7561"/>
    <w:rsid w:val="009F76EE"/>
    <w:rsid w:val="00A00642"/>
    <w:rsid w:val="00A0373D"/>
    <w:rsid w:val="00A045EB"/>
    <w:rsid w:val="00A12736"/>
    <w:rsid w:val="00A219F4"/>
    <w:rsid w:val="00A23529"/>
    <w:rsid w:val="00A23E56"/>
    <w:rsid w:val="00A31DCC"/>
    <w:rsid w:val="00A337DB"/>
    <w:rsid w:val="00A37258"/>
    <w:rsid w:val="00A3770E"/>
    <w:rsid w:val="00A41A9D"/>
    <w:rsid w:val="00A449B8"/>
    <w:rsid w:val="00A4728B"/>
    <w:rsid w:val="00A510EB"/>
    <w:rsid w:val="00A51A95"/>
    <w:rsid w:val="00A53935"/>
    <w:rsid w:val="00A6376A"/>
    <w:rsid w:val="00A63C7F"/>
    <w:rsid w:val="00A70945"/>
    <w:rsid w:val="00A72075"/>
    <w:rsid w:val="00A72778"/>
    <w:rsid w:val="00A75DD9"/>
    <w:rsid w:val="00A7617C"/>
    <w:rsid w:val="00A7783F"/>
    <w:rsid w:val="00A84D8C"/>
    <w:rsid w:val="00A84E83"/>
    <w:rsid w:val="00A85888"/>
    <w:rsid w:val="00A974A8"/>
    <w:rsid w:val="00AA04CC"/>
    <w:rsid w:val="00AA4903"/>
    <w:rsid w:val="00AA69AC"/>
    <w:rsid w:val="00AA7F93"/>
    <w:rsid w:val="00AB4A58"/>
    <w:rsid w:val="00AB4C4C"/>
    <w:rsid w:val="00AC1100"/>
    <w:rsid w:val="00AC129B"/>
    <w:rsid w:val="00AC2BF4"/>
    <w:rsid w:val="00AC3A86"/>
    <w:rsid w:val="00AC4B0A"/>
    <w:rsid w:val="00AC5ADF"/>
    <w:rsid w:val="00AC7D48"/>
    <w:rsid w:val="00AD23D1"/>
    <w:rsid w:val="00AD3287"/>
    <w:rsid w:val="00AD6787"/>
    <w:rsid w:val="00AE0D78"/>
    <w:rsid w:val="00AE4E1E"/>
    <w:rsid w:val="00AE5512"/>
    <w:rsid w:val="00AE5D8E"/>
    <w:rsid w:val="00AF5273"/>
    <w:rsid w:val="00AF6641"/>
    <w:rsid w:val="00B006DF"/>
    <w:rsid w:val="00B01BED"/>
    <w:rsid w:val="00B0625C"/>
    <w:rsid w:val="00B06670"/>
    <w:rsid w:val="00B06A23"/>
    <w:rsid w:val="00B12C6F"/>
    <w:rsid w:val="00B15925"/>
    <w:rsid w:val="00B22B5A"/>
    <w:rsid w:val="00B24700"/>
    <w:rsid w:val="00B24A19"/>
    <w:rsid w:val="00B25235"/>
    <w:rsid w:val="00B25F0B"/>
    <w:rsid w:val="00B26FC3"/>
    <w:rsid w:val="00B44E9E"/>
    <w:rsid w:val="00B50172"/>
    <w:rsid w:val="00B506AE"/>
    <w:rsid w:val="00B5573C"/>
    <w:rsid w:val="00B560DB"/>
    <w:rsid w:val="00B571A7"/>
    <w:rsid w:val="00B62BA2"/>
    <w:rsid w:val="00B63582"/>
    <w:rsid w:val="00B64C84"/>
    <w:rsid w:val="00B65782"/>
    <w:rsid w:val="00B73D0E"/>
    <w:rsid w:val="00B767B8"/>
    <w:rsid w:val="00B817F1"/>
    <w:rsid w:val="00B81CCA"/>
    <w:rsid w:val="00B83AB2"/>
    <w:rsid w:val="00B85CAD"/>
    <w:rsid w:val="00B85E55"/>
    <w:rsid w:val="00B86490"/>
    <w:rsid w:val="00B92BCC"/>
    <w:rsid w:val="00B95739"/>
    <w:rsid w:val="00B96E70"/>
    <w:rsid w:val="00BA0CC4"/>
    <w:rsid w:val="00BA2508"/>
    <w:rsid w:val="00BC05BA"/>
    <w:rsid w:val="00BC2247"/>
    <w:rsid w:val="00BC5BC7"/>
    <w:rsid w:val="00BD4F8A"/>
    <w:rsid w:val="00BE1ED8"/>
    <w:rsid w:val="00BE308F"/>
    <w:rsid w:val="00BE42A0"/>
    <w:rsid w:val="00BE7319"/>
    <w:rsid w:val="00BF33B9"/>
    <w:rsid w:val="00BF35BA"/>
    <w:rsid w:val="00BF5E61"/>
    <w:rsid w:val="00C00753"/>
    <w:rsid w:val="00C014E2"/>
    <w:rsid w:val="00C04DA0"/>
    <w:rsid w:val="00C1208F"/>
    <w:rsid w:val="00C126E2"/>
    <w:rsid w:val="00C21E72"/>
    <w:rsid w:val="00C23F66"/>
    <w:rsid w:val="00C303C7"/>
    <w:rsid w:val="00C345F1"/>
    <w:rsid w:val="00C35A3D"/>
    <w:rsid w:val="00C37C1B"/>
    <w:rsid w:val="00C41455"/>
    <w:rsid w:val="00C41CAB"/>
    <w:rsid w:val="00C47767"/>
    <w:rsid w:val="00C50AC8"/>
    <w:rsid w:val="00C51375"/>
    <w:rsid w:val="00C537D7"/>
    <w:rsid w:val="00C5662C"/>
    <w:rsid w:val="00C57E6C"/>
    <w:rsid w:val="00C61DE0"/>
    <w:rsid w:val="00C66D58"/>
    <w:rsid w:val="00C66E83"/>
    <w:rsid w:val="00C70295"/>
    <w:rsid w:val="00C74DD2"/>
    <w:rsid w:val="00C75E72"/>
    <w:rsid w:val="00C76432"/>
    <w:rsid w:val="00C7692A"/>
    <w:rsid w:val="00C76E29"/>
    <w:rsid w:val="00C860AC"/>
    <w:rsid w:val="00C9568F"/>
    <w:rsid w:val="00CA0F0E"/>
    <w:rsid w:val="00CA5A71"/>
    <w:rsid w:val="00CB10FF"/>
    <w:rsid w:val="00CB2C79"/>
    <w:rsid w:val="00CB5CB5"/>
    <w:rsid w:val="00CC041E"/>
    <w:rsid w:val="00CC3975"/>
    <w:rsid w:val="00CE10DC"/>
    <w:rsid w:val="00CE488D"/>
    <w:rsid w:val="00CE5374"/>
    <w:rsid w:val="00CF647A"/>
    <w:rsid w:val="00D01045"/>
    <w:rsid w:val="00D033D6"/>
    <w:rsid w:val="00D0761E"/>
    <w:rsid w:val="00D15200"/>
    <w:rsid w:val="00D25C37"/>
    <w:rsid w:val="00D264CB"/>
    <w:rsid w:val="00D265FF"/>
    <w:rsid w:val="00D27A84"/>
    <w:rsid w:val="00D32221"/>
    <w:rsid w:val="00D357A0"/>
    <w:rsid w:val="00D40548"/>
    <w:rsid w:val="00D40677"/>
    <w:rsid w:val="00D423C8"/>
    <w:rsid w:val="00D50EF8"/>
    <w:rsid w:val="00D517A6"/>
    <w:rsid w:val="00D51FFC"/>
    <w:rsid w:val="00D52651"/>
    <w:rsid w:val="00D53186"/>
    <w:rsid w:val="00D57774"/>
    <w:rsid w:val="00D63007"/>
    <w:rsid w:val="00D649DE"/>
    <w:rsid w:val="00D67623"/>
    <w:rsid w:val="00D7144B"/>
    <w:rsid w:val="00D75FE2"/>
    <w:rsid w:val="00D81A26"/>
    <w:rsid w:val="00D8312D"/>
    <w:rsid w:val="00D869AF"/>
    <w:rsid w:val="00D87CB7"/>
    <w:rsid w:val="00D9382B"/>
    <w:rsid w:val="00D94318"/>
    <w:rsid w:val="00DA1C2C"/>
    <w:rsid w:val="00DA20E2"/>
    <w:rsid w:val="00DA5312"/>
    <w:rsid w:val="00DA6F15"/>
    <w:rsid w:val="00DB02F7"/>
    <w:rsid w:val="00DB35BF"/>
    <w:rsid w:val="00DB53A1"/>
    <w:rsid w:val="00DB6CA4"/>
    <w:rsid w:val="00DB7928"/>
    <w:rsid w:val="00DC0C02"/>
    <w:rsid w:val="00DC35DC"/>
    <w:rsid w:val="00DC474A"/>
    <w:rsid w:val="00DC4FCB"/>
    <w:rsid w:val="00DC6671"/>
    <w:rsid w:val="00DD0360"/>
    <w:rsid w:val="00DD48D9"/>
    <w:rsid w:val="00DD7DD8"/>
    <w:rsid w:val="00DE3579"/>
    <w:rsid w:val="00DE5444"/>
    <w:rsid w:val="00DE74FD"/>
    <w:rsid w:val="00E01D87"/>
    <w:rsid w:val="00E0342E"/>
    <w:rsid w:val="00E15070"/>
    <w:rsid w:val="00E21E3D"/>
    <w:rsid w:val="00E27AB1"/>
    <w:rsid w:val="00E34DCF"/>
    <w:rsid w:val="00E35477"/>
    <w:rsid w:val="00E40888"/>
    <w:rsid w:val="00E433F8"/>
    <w:rsid w:val="00E64A63"/>
    <w:rsid w:val="00E64F62"/>
    <w:rsid w:val="00E70796"/>
    <w:rsid w:val="00E71CBB"/>
    <w:rsid w:val="00E71F94"/>
    <w:rsid w:val="00E74CDF"/>
    <w:rsid w:val="00E753D7"/>
    <w:rsid w:val="00E76D89"/>
    <w:rsid w:val="00E86143"/>
    <w:rsid w:val="00E939FE"/>
    <w:rsid w:val="00EA0E4D"/>
    <w:rsid w:val="00EA55A4"/>
    <w:rsid w:val="00EB16BB"/>
    <w:rsid w:val="00EB46A6"/>
    <w:rsid w:val="00EB703F"/>
    <w:rsid w:val="00EC38A9"/>
    <w:rsid w:val="00EC4D5F"/>
    <w:rsid w:val="00ED0931"/>
    <w:rsid w:val="00ED3CA6"/>
    <w:rsid w:val="00ED541B"/>
    <w:rsid w:val="00ED56AF"/>
    <w:rsid w:val="00ED636B"/>
    <w:rsid w:val="00EE3A89"/>
    <w:rsid w:val="00EE60A0"/>
    <w:rsid w:val="00EE66A8"/>
    <w:rsid w:val="00EF12DF"/>
    <w:rsid w:val="00EF5677"/>
    <w:rsid w:val="00F02098"/>
    <w:rsid w:val="00F02893"/>
    <w:rsid w:val="00F0597C"/>
    <w:rsid w:val="00F066EA"/>
    <w:rsid w:val="00F11CB5"/>
    <w:rsid w:val="00F1427B"/>
    <w:rsid w:val="00F14E14"/>
    <w:rsid w:val="00F15AB4"/>
    <w:rsid w:val="00F2339B"/>
    <w:rsid w:val="00F23BC8"/>
    <w:rsid w:val="00F32B95"/>
    <w:rsid w:val="00F33953"/>
    <w:rsid w:val="00F36D81"/>
    <w:rsid w:val="00F40862"/>
    <w:rsid w:val="00F432ED"/>
    <w:rsid w:val="00F45188"/>
    <w:rsid w:val="00F455BA"/>
    <w:rsid w:val="00F5218D"/>
    <w:rsid w:val="00F53969"/>
    <w:rsid w:val="00F55080"/>
    <w:rsid w:val="00F55BB4"/>
    <w:rsid w:val="00F6006A"/>
    <w:rsid w:val="00F605A9"/>
    <w:rsid w:val="00F643CE"/>
    <w:rsid w:val="00F64AAD"/>
    <w:rsid w:val="00F66EB6"/>
    <w:rsid w:val="00F72097"/>
    <w:rsid w:val="00F72131"/>
    <w:rsid w:val="00F747B2"/>
    <w:rsid w:val="00F76613"/>
    <w:rsid w:val="00F80CB7"/>
    <w:rsid w:val="00F8106D"/>
    <w:rsid w:val="00F81A37"/>
    <w:rsid w:val="00F84300"/>
    <w:rsid w:val="00F907C8"/>
    <w:rsid w:val="00F9242C"/>
    <w:rsid w:val="00F93A4B"/>
    <w:rsid w:val="00F95BE5"/>
    <w:rsid w:val="00F96450"/>
    <w:rsid w:val="00F97769"/>
    <w:rsid w:val="00FA3424"/>
    <w:rsid w:val="00FA3BE7"/>
    <w:rsid w:val="00FA3E1F"/>
    <w:rsid w:val="00FB635F"/>
    <w:rsid w:val="00FC4192"/>
    <w:rsid w:val="00FC6570"/>
    <w:rsid w:val="00FD0704"/>
    <w:rsid w:val="00FD445D"/>
    <w:rsid w:val="00FD4A82"/>
    <w:rsid w:val="00FD57E7"/>
    <w:rsid w:val="00FD5D95"/>
    <w:rsid w:val="00FD6CCF"/>
    <w:rsid w:val="00FE0A71"/>
    <w:rsid w:val="00FE19CD"/>
    <w:rsid w:val="00FE2D1E"/>
    <w:rsid w:val="00FE2E72"/>
    <w:rsid w:val="00FE5A22"/>
    <w:rsid w:val="00FF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5CC48"/>
  <w15:docId w15:val="{7CA173DE-BF30-437D-9CA5-8A13CA3B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57E7"/>
    <w:rPr>
      <w:color w:val="0563C1" w:themeColor="hyperlink"/>
      <w:u w:val="single"/>
    </w:rPr>
  </w:style>
  <w:style w:type="paragraph" w:styleId="ListeParagraf">
    <w:name w:val="List Paragraph"/>
    <w:basedOn w:val="Normal"/>
    <w:uiPriority w:val="34"/>
    <w:qFormat/>
    <w:rsid w:val="00FD57E7"/>
    <w:pPr>
      <w:ind w:left="720"/>
      <w:contextualSpacing/>
    </w:pPr>
  </w:style>
  <w:style w:type="table" w:customStyle="1" w:styleId="KlavuzTablo1Ak-Vurgu11">
    <w:name w:val="Kılavuz Tablo 1 Açık - Vurgu 11"/>
    <w:basedOn w:val="NormalTablo"/>
    <w:uiPriority w:val="46"/>
    <w:rsid w:val="009855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D53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186"/>
    <w:rPr>
      <w:rFonts w:ascii="Tahoma" w:hAnsi="Tahoma" w:cs="Tahoma"/>
      <w:sz w:val="16"/>
      <w:szCs w:val="16"/>
    </w:rPr>
  </w:style>
  <w:style w:type="character" w:styleId="AklamaBavurusu">
    <w:name w:val="annotation reference"/>
    <w:basedOn w:val="VarsaylanParagrafYazTipi"/>
    <w:uiPriority w:val="99"/>
    <w:semiHidden/>
    <w:unhideWhenUsed/>
    <w:rsid w:val="00B12C6F"/>
    <w:rPr>
      <w:sz w:val="16"/>
      <w:szCs w:val="16"/>
    </w:rPr>
  </w:style>
  <w:style w:type="paragraph" w:styleId="AklamaMetni">
    <w:name w:val="annotation text"/>
    <w:basedOn w:val="Normal"/>
    <w:link w:val="AklamaMetniChar"/>
    <w:uiPriority w:val="99"/>
    <w:semiHidden/>
    <w:unhideWhenUsed/>
    <w:rsid w:val="00B12C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C6F"/>
    <w:rPr>
      <w:sz w:val="20"/>
      <w:szCs w:val="20"/>
    </w:rPr>
  </w:style>
  <w:style w:type="paragraph" w:styleId="AklamaKonusu">
    <w:name w:val="annotation subject"/>
    <w:basedOn w:val="AklamaMetni"/>
    <w:next w:val="AklamaMetni"/>
    <w:link w:val="AklamaKonusuChar"/>
    <w:uiPriority w:val="99"/>
    <w:semiHidden/>
    <w:unhideWhenUsed/>
    <w:rsid w:val="00B12C6F"/>
    <w:rPr>
      <w:b/>
      <w:bCs/>
    </w:rPr>
  </w:style>
  <w:style w:type="character" w:customStyle="1" w:styleId="AklamaKonusuChar">
    <w:name w:val="Açıklama Konusu Char"/>
    <w:basedOn w:val="AklamaMetniChar"/>
    <w:link w:val="AklamaKonusu"/>
    <w:uiPriority w:val="99"/>
    <w:semiHidden/>
    <w:rsid w:val="00B12C6F"/>
    <w:rPr>
      <w:b/>
      <w:bCs/>
      <w:sz w:val="20"/>
      <w:szCs w:val="20"/>
    </w:rPr>
  </w:style>
  <w:style w:type="paragraph" w:styleId="stBilgi">
    <w:name w:val="header"/>
    <w:basedOn w:val="Normal"/>
    <w:link w:val="stBilgiChar"/>
    <w:uiPriority w:val="99"/>
    <w:unhideWhenUsed/>
    <w:rsid w:val="00F721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2131"/>
  </w:style>
  <w:style w:type="paragraph" w:styleId="AltBilgi">
    <w:name w:val="footer"/>
    <w:basedOn w:val="Normal"/>
    <w:link w:val="AltBilgiChar"/>
    <w:uiPriority w:val="99"/>
    <w:unhideWhenUsed/>
    <w:rsid w:val="00F721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2131"/>
  </w:style>
  <w:style w:type="table" w:styleId="DzTablo1">
    <w:name w:val="Plain Table 1"/>
    <w:basedOn w:val="NormalTablo"/>
    <w:uiPriority w:val="41"/>
    <w:rsid w:val="008B2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6Renkli-Vurgu1">
    <w:name w:val="Grid Table 6 Colorful Accent 1"/>
    <w:basedOn w:val="NormalTablo"/>
    <w:uiPriority w:val="51"/>
    <w:rsid w:val="008B2F9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5">
    <w:name w:val="Grid Table 6 Colorful Accent 5"/>
    <w:basedOn w:val="NormalTablo"/>
    <w:uiPriority w:val="51"/>
    <w:rsid w:val="00227E1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oKlavuzu">
    <w:name w:val="Table Grid"/>
    <w:basedOn w:val="NormalTablo"/>
    <w:uiPriority w:val="39"/>
    <w:rsid w:val="005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3229">
      <w:bodyDiv w:val="1"/>
      <w:marLeft w:val="0"/>
      <w:marRight w:val="0"/>
      <w:marTop w:val="0"/>
      <w:marBottom w:val="0"/>
      <w:divBdr>
        <w:top w:val="none" w:sz="0" w:space="0" w:color="auto"/>
        <w:left w:val="none" w:sz="0" w:space="0" w:color="auto"/>
        <w:bottom w:val="none" w:sz="0" w:space="0" w:color="auto"/>
        <w:right w:val="none" w:sz="0" w:space="0" w:color="auto"/>
      </w:divBdr>
    </w:div>
    <w:div w:id="73279116">
      <w:bodyDiv w:val="1"/>
      <w:marLeft w:val="0"/>
      <w:marRight w:val="0"/>
      <w:marTop w:val="0"/>
      <w:marBottom w:val="0"/>
      <w:divBdr>
        <w:top w:val="none" w:sz="0" w:space="0" w:color="auto"/>
        <w:left w:val="none" w:sz="0" w:space="0" w:color="auto"/>
        <w:bottom w:val="none" w:sz="0" w:space="0" w:color="auto"/>
        <w:right w:val="none" w:sz="0" w:space="0" w:color="auto"/>
      </w:divBdr>
    </w:div>
    <w:div w:id="84150756">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84307260">
      <w:bodyDiv w:val="1"/>
      <w:marLeft w:val="0"/>
      <w:marRight w:val="0"/>
      <w:marTop w:val="0"/>
      <w:marBottom w:val="0"/>
      <w:divBdr>
        <w:top w:val="none" w:sz="0" w:space="0" w:color="auto"/>
        <w:left w:val="none" w:sz="0" w:space="0" w:color="auto"/>
        <w:bottom w:val="none" w:sz="0" w:space="0" w:color="auto"/>
        <w:right w:val="none" w:sz="0" w:space="0" w:color="auto"/>
      </w:divBdr>
    </w:div>
    <w:div w:id="117140449">
      <w:bodyDiv w:val="1"/>
      <w:marLeft w:val="0"/>
      <w:marRight w:val="0"/>
      <w:marTop w:val="0"/>
      <w:marBottom w:val="0"/>
      <w:divBdr>
        <w:top w:val="none" w:sz="0" w:space="0" w:color="auto"/>
        <w:left w:val="none" w:sz="0" w:space="0" w:color="auto"/>
        <w:bottom w:val="none" w:sz="0" w:space="0" w:color="auto"/>
        <w:right w:val="none" w:sz="0" w:space="0" w:color="auto"/>
      </w:divBdr>
    </w:div>
    <w:div w:id="154690452">
      <w:bodyDiv w:val="1"/>
      <w:marLeft w:val="0"/>
      <w:marRight w:val="0"/>
      <w:marTop w:val="0"/>
      <w:marBottom w:val="0"/>
      <w:divBdr>
        <w:top w:val="none" w:sz="0" w:space="0" w:color="auto"/>
        <w:left w:val="none" w:sz="0" w:space="0" w:color="auto"/>
        <w:bottom w:val="none" w:sz="0" w:space="0" w:color="auto"/>
        <w:right w:val="none" w:sz="0" w:space="0" w:color="auto"/>
      </w:divBdr>
    </w:div>
    <w:div w:id="155805540">
      <w:bodyDiv w:val="1"/>
      <w:marLeft w:val="0"/>
      <w:marRight w:val="0"/>
      <w:marTop w:val="0"/>
      <w:marBottom w:val="0"/>
      <w:divBdr>
        <w:top w:val="none" w:sz="0" w:space="0" w:color="auto"/>
        <w:left w:val="none" w:sz="0" w:space="0" w:color="auto"/>
        <w:bottom w:val="none" w:sz="0" w:space="0" w:color="auto"/>
        <w:right w:val="none" w:sz="0" w:space="0" w:color="auto"/>
      </w:divBdr>
    </w:div>
    <w:div w:id="158034878">
      <w:bodyDiv w:val="1"/>
      <w:marLeft w:val="0"/>
      <w:marRight w:val="0"/>
      <w:marTop w:val="0"/>
      <w:marBottom w:val="0"/>
      <w:divBdr>
        <w:top w:val="none" w:sz="0" w:space="0" w:color="auto"/>
        <w:left w:val="none" w:sz="0" w:space="0" w:color="auto"/>
        <w:bottom w:val="none" w:sz="0" w:space="0" w:color="auto"/>
        <w:right w:val="none" w:sz="0" w:space="0" w:color="auto"/>
      </w:divBdr>
    </w:div>
    <w:div w:id="173955583">
      <w:bodyDiv w:val="1"/>
      <w:marLeft w:val="0"/>
      <w:marRight w:val="0"/>
      <w:marTop w:val="0"/>
      <w:marBottom w:val="0"/>
      <w:divBdr>
        <w:top w:val="none" w:sz="0" w:space="0" w:color="auto"/>
        <w:left w:val="none" w:sz="0" w:space="0" w:color="auto"/>
        <w:bottom w:val="none" w:sz="0" w:space="0" w:color="auto"/>
        <w:right w:val="none" w:sz="0" w:space="0" w:color="auto"/>
      </w:divBdr>
    </w:div>
    <w:div w:id="174732009">
      <w:bodyDiv w:val="1"/>
      <w:marLeft w:val="0"/>
      <w:marRight w:val="0"/>
      <w:marTop w:val="0"/>
      <w:marBottom w:val="0"/>
      <w:divBdr>
        <w:top w:val="none" w:sz="0" w:space="0" w:color="auto"/>
        <w:left w:val="none" w:sz="0" w:space="0" w:color="auto"/>
        <w:bottom w:val="none" w:sz="0" w:space="0" w:color="auto"/>
        <w:right w:val="none" w:sz="0" w:space="0" w:color="auto"/>
      </w:divBdr>
    </w:div>
    <w:div w:id="224804313">
      <w:bodyDiv w:val="1"/>
      <w:marLeft w:val="0"/>
      <w:marRight w:val="0"/>
      <w:marTop w:val="0"/>
      <w:marBottom w:val="0"/>
      <w:divBdr>
        <w:top w:val="none" w:sz="0" w:space="0" w:color="auto"/>
        <w:left w:val="none" w:sz="0" w:space="0" w:color="auto"/>
        <w:bottom w:val="none" w:sz="0" w:space="0" w:color="auto"/>
        <w:right w:val="none" w:sz="0" w:space="0" w:color="auto"/>
      </w:divBdr>
    </w:div>
    <w:div w:id="314378057">
      <w:bodyDiv w:val="1"/>
      <w:marLeft w:val="0"/>
      <w:marRight w:val="0"/>
      <w:marTop w:val="0"/>
      <w:marBottom w:val="0"/>
      <w:divBdr>
        <w:top w:val="none" w:sz="0" w:space="0" w:color="auto"/>
        <w:left w:val="none" w:sz="0" w:space="0" w:color="auto"/>
        <w:bottom w:val="none" w:sz="0" w:space="0" w:color="auto"/>
        <w:right w:val="none" w:sz="0" w:space="0" w:color="auto"/>
      </w:divBdr>
    </w:div>
    <w:div w:id="361248169">
      <w:bodyDiv w:val="1"/>
      <w:marLeft w:val="0"/>
      <w:marRight w:val="0"/>
      <w:marTop w:val="0"/>
      <w:marBottom w:val="0"/>
      <w:divBdr>
        <w:top w:val="none" w:sz="0" w:space="0" w:color="auto"/>
        <w:left w:val="none" w:sz="0" w:space="0" w:color="auto"/>
        <w:bottom w:val="none" w:sz="0" w:space="0" w:color="auto"/>
        <w:right w:val="none" w:sz="0" w:space="0" w:color="auto"/>
      </w:divBdr>
    </w:div>
    <w:div w:id="374357999">
      <w:bodyDiv w:val="1"/>
      <w:marLeft w:val="0"/>
      <w:marRight w:val="0"/>
      <w:marTop w:val="0"/>
      <w:marBottom w:val="0"/>
      <w:divBdr>
        <w:top w:val="none" w:sz="0" w:space="0" w:color="auto"/>
        <w:left w:val="none" w:sz="0" w:space="0" w:color="auto"/>
        <w:bottom w:val="none" w:sz="0" w:space="0" w:color="auto"/>
        <w:right w:val="none" w:sz="0" w:space="0" w:color="auto"/>
      </w:divBdr>
    </w:div>
    <w:div w:id="483662272">
      <w:bodyDiv w:val="1"/>
      <w:marLeft w:val="0"/>
      <w:marRight w:val="0"/>
      <w:marTop w:val="0"/>
      <w:marBottom w:val="0"/>
      <w:divBdr>
        <w:top w:val="none" w:sz="0" w:space="0" w:color="auto"/>
        <w:left w:val="none" w:sz="0" w:space="0" w:color="auto"/>
        <w:bottom w:val="none" w:sz="0" w:space="0" w:color="auto"/>
        <w:right w:val="none" w:sz="0" w:space="0" w:color="auto"/>
      </w:divBdr>
    </w:div>
    <w:div w:id="515538169">
      <w:bodyDiv w:val="1"/>
      <w:marLeft w:val="0"/>
      <w:marRight w:val="0"/>
      <w:marTop w:val="0"/>
      <w:marBottom w:val="0"/>
      <w:divBdr>
        <w:top w:val="none" w:sz="0" w:space="0" w:color="auto"/>
        <w:left w:val="none" w:sz="0" w:space="0" w:color="auto"/>
        <w:bottom w:val="none" w:sz="0" w:space="0" w:color="auto"/>
        <w:right w:val="none" w:sz="0" w:space="0" w:color="auto"/>
      </w:divBdr>
    </w:div>
    <w:div w:id="591744798">
      <w:bodyDiv w:val="1"/>
      <w:marLeft w:val="0"/>
      <w:marRight w:val="0"/>
      <w:marTop w:val="0"/>
      <w:marBottom w:val="0"/>
      <w:divBdr>
        <w:top w:val="none" w:sz="0" w:space="0" w:color="auto"/>
        <w:left w:val="none" w:sz="0" w:space="0" w:color="auto"/>
        <w:bottom w:val="none" w:sz="0" w:space="0" w:color="auto"/>
        <w:right w:val="none" w:sz="0" w:space="0" w:color="auto"/>
      </w:divBdr>
    </w:div>
    <w:div w:id="615018059">
      <w:bodyDiv w:val="1"/>
      <w:marLeft w:val="0"/>
      <w:marRight w:val="0"/>
      <w:marTop w:val="0"/>
      <w:marBottom w:val="0"/>
      <w:divBdr>
        <w:top w:val="none" w:sz="0" w:space="0" w:color="auto"/>
        <w:left w:val="none" w:sz="0" w:space="0" w:color="auto"/>
        <w:bottom w:val="none" w:sz="0" w:space="0" w:color="auto"/>
        <w:right w:val="none" w:sz="0" w:space="0" w:color="auto"/>
      </w:divBdr>
    </w:div>
    <w:div w:id="895120659">
      <w:bodyDiv w:val="1"/>
      <w:marLeft w:val="0"/>
      <w:marRight w:val="0"/>
      <w:marTop w:val="0"/>
      <w:marBottom w:val="0"/>
      <w:divBdr>
        <w:top w:val="none" w:sz="0" w:space="0" w:color="auto"/>
        <w:left w:val="none" w:sz="0" w:space="0" w:color="auto"/>
        <w:bottom w:val="none" w:sz="0" w:space="0" w:color="auto"/>
        <w:right w:val="none" w:sz="0" w:space="0" w:color="auto"/>
      </w:divBdr>
    </w:div>
    <w:div w:id="904493146">
      <w:bodyDiv w:val="1"/>
      <w:marLeft w:val="0"/>
      <w:marRight w:val="0"/>
      <w:marTop w:val="0"/>
      <w:marBottom w:val="0"/>
      <w:divBdr>
        <w:top w:val="none" w:sz="0" w:space="0" w:color="auto"/>
        <w:left w:val="none" w:sz="0" w:space="0" w:color="auto"/>
        <w:bottom w:val="none" w:sz="0" w:space="0" w:color="auto"/>
        <w:right w:val="none" w:sz="0" w:space="0" w:color="auto"/>
      </w:divBdr>
    </w:div>
    <w:div w:id="908614857">
      <w:bodyDiv w:val="1"/>
      <w:marLeft w:val="0"/>
      <w:marRight w:val="0"/>
      <w:marTop w:val="0"/>
      <w:marBottom w:val="0"/>
      <w:divBdr>
        <w:top w:val="none" w:sz="0" w:space="0" w:color="auto"/>
        <w:left w:val="none" w:sz="0" w:space="0" w:color="auto"/>
        <w:bottom w:val="none" w:sz="0" w:space="0" w:color="auto"/>
        <w:right w:val="none" w:sz="0" w:space="0" w:color="auto"/>
      </w:divBdr>
    </w:div>
    <w:div w:id="939138613">
      <w:bodyDiv w:val="1"/>
      <w:marLeft w:val="0"/>
      <w:marRight w:val="0"/>
      <w:marTop w:val="0"/>
      <w:marBottom w:val="0"/>
      <w:divBdr>
        <w:top w:val="none" w:sz="0" w:space="0" w:color="auto"/>
        <w:left w:val="none" w:sz="0" w:space="0" w:color="auto"/>
        <w:bottom w:val="none" w:sz="0" w:space="0" w:color="auto"/>
        <w:right w:val="none" w:sz="0" w:space="0" w:color="auto"/>
      </w:divBdr>
    </w:div>
    <w:div w:id="980308100">
      <w:bodyDiv w:val="1"/>
      <w:marLeft w:val="0"/>
      <w:marRight w:val="0"/>
      <w:marTop w:val="0"/>
      <w:marBottom w:val="0"/>
      <w:divBdr>
        <w:top w:val="none" w:sz="0" w:space="0" w:color="auto"/>
        <w:left w:val="none" w:sz="0" w:space="0" w:color="auto"/>
        <w:bottom w:val="none" w:sz="0" w:space="0" w:color="auto"/>
        <w:right w:val="none" w:sz="0" w:space="0" w:color="auto"/>
      </w:divBdr>
    </w:div>
    <w:div w:id="1008755663">
      <w:bodyDiv w:val="1"/>
      <w:marLeft w:val="0"/>
      <w:marRight w:val="0"/>
      <w:marTop w:val="0"/>
      <w:marBottom w:val="0"/>
      <w:divBdr>
        <w:top w:val="none" w:sz="0" w:space="0" w:color="auto"/>
        <w:left w:val="none" w:sz="0" w:space="0" w:color="auto"/>
        <w:bottom w:val="none" w:sz="0" w:space="0" w:color="auto"/>
        <w:right w:val="none" w:sz="0" w:space="0" w:color="auto"/>
      </w:divBdr>
    </w:div>
    <w:div w:id="1019434483">
      <w:bodyDiv w:val="1"/>
      <w:marLeft w:val="0"/>
      <w:marRight w:val="0"/>
      <w:marTop w:val="0"/>
      <w:marBottom w:val="0"/>
      <w:divBdr>
        <w:top w:val="none" w:sz="0" w:space="0" w:color="auto"/>
        <w:left w:val="none" w:sz="0" w:space="0" w:color="auto"/>
        <w:bottom w:val="none" w:sz="0" w:space="0" w:color="auto"/>
        <w:right w:val="none" w:sz="0" w:space="0" w:color="auto"/>
      </w:divBdr>
    </w:div>
    <w:div w:id="1036003824">
      <w:bodyDiv w:val="1"/>
      <w:marLeft w:val="0"/>
      <w:marRight w:val="0"/>
      <w:marTop w:val="0"/>
      <w:marBottom w:val="0"/>
      <w:divBdr>
        <w:top w:val="none" w:sz="0" w:space="0" w:color="auto"/>
        <w:left w:val="none" w:sz="0" w:space="0" w:color="auto"/>
        <w:bottom w:val="none" w:sz="0" w:space="0" w:color="auto"/>
        <w:right w:val="none" w:sz="0" w:space="0" w:color="auto"/>
      </w:divBdr>
    </w:div>
    <w:div w:id="1046374784">
      <w:bodyDiv w:val="1"/>
      <w:marLeft w:val="0"/>
      <w:marRight w:val="0"/>
      <w:marTop w:val="0"/>
      <w:marBottom w:val="0"/>
      <w:divBdr>
        <w:top w:val="none" w:sz="0" w:space="0" w:color="auto"/>
        <w:left w:val="none" w:sz="0" w:space="0" w:color="auto"/>
        <w:bottom w:val="none" w:sz="0" w:space="0" w:color="auto"/>
        <w:right w:val="none" w:sz="0" w:space="0" w:color="auto"/>
      </w:divBdr>
    </w:div>
    <w:div w:id="1073502962">
      <w:bodyDiv w:val="1"/>
      <w:marLeft w:val="0"/>
      <w:marRight w:val="0"/>
      <w:marTop w:val="0"/>
      <w:marBottom w:val="0"/>
      <w:divBdr>
        <w:top w:val="none" w:sz="0" w:space="0" w:color="auto"/>
        <w:left w:val="none" w:sz="0" w:space="0" w:color="auto"/>
        <w:bottom w:val="none" w:sz="0" w:space="0" w:color="auto"/>
        <w:right w:val="none" w:sz="0" w:space="0" w:color="auto"/>
      </w:divBdr>
    </w:div>
    <w:div w:id="1122000785">
      <w:bodyDiv w:val="1"/>
      <w:marLeft w:val="0"/>
      <w:marRight w:val="0"/>
      <w:marTop w:val="0"/>
      <w:marBottom w:val="0"/>
      <w:divBdr>
        <w:top w:val="none" w:sz="0" w:space="0" w:color="auto"/>
        <w:left w:val="none" w:sz="0" w:space="0" w:color="auto"/>
        <w:bottom w:val="none" w:sz="0" w:space="0" w:color="auto"/>
        <w:right w:val="none" w:sz="0" w:space="0" w:color="auto"/>
      </w:divBdr>
    </w:div>
    <w:div w:id="1133597958">
      <w:bodyDiv w:val="1"/>
      <w:marLeft w:val="0"/>
      <w:marRight w:val="0"/>
      <w:marTop w:val="0"/>
      <w:marBottom w:val="0"/>
      <w:divBdr>
        <w:top w:val="none" w:sz="0" w:space="0" w:color="auto"/>
        <w:left w:val="none" w:sz="0" w:space="0" w:color="auto"/>
        <w:bottom w:val="none" w:sz="0" w:space="0" w:color="auto"/>
        <w:right w:val="none" w:sz="0" w:space="0" w:color="auto"/>
      </w:divBdr>
    </w:div>
    <w:div w:id="1242834747">
      <w:bodyDiv w:val="1"/>
      <w:marLeft w:val="0"/>
      <w:marRight w:val="0"/>
      <w:marTop w:val="0"/>
      <w:marBottom w:val="0"/>
      <w:divBdr>
        <w:top w:val="none" w:sz="0" w:space="0" w:color="auto"/>
        <w:left w:val="none" w:sz="0" w:space="0" w:color="auto"/>
        <w:bottom w:val="none" w:sz="0" w:space="0" w:color="auto"/>
        <w:right w:val="none" w:sz="0" w:space="0" w:color="auto"/>
      </w:divBdr>
    </w:div>
    <w:div w:id="1284386935">
      <w:bodyDiv w:val="1"/>
      <w:marLeft w:val="0"/>
      <w:marRight w:val="0"/>
      <w:marTop w:val="0"/>
      <w:marBottom w:val="0"/>
      <w:divBdr>
        <w:top w:val="none" w:sz="0" w:space="0" w:color="auto"/>
        <w:left w:val="none" w:sz="0" w:space="0" w:color="auto"/>
        <w:bottom w:val="none" w:sz="0" w:space="0" w:color="auto"/>
        <w:right w:val="none" w:sz="0" w:space="0" w:color="auto"/>
      </w:divBdr>
    </w:div>
    <w:div w:id="1330908692">
      <w:bodyDiv w:val="1"/>
      <w:marLeft w:val="0"/>
      <w:marRight w:val="0"/>
      <w:marTop w:val="0"/>
      <w:marBottom w:val="0"/>
      <w:divBdr>
        <w:top w:val="none" w:sz="0" w:space="0" w:color="auto"/>
        <w:left w:val="none" w:sz="0" w:space="0" w:color="auto"/>
        <w:bottom w:val="none" w:sz="0" w:space="0" w:color="auto"/>
        <w:right w:val="none" w:sz="0" w:space="0" w:color="auto"/>
      </w:divBdr>
    </w:div>
    <w:div w:id="1336610735">
      <w:bodyDiv w:val="1"/>
      <w:marLeft w:val="0"/>
      <w:marRight w:val="0"/>
      <w:marTop w:val="0"/>
      <w:marBottom w:val="0"/>
      <w:divBdr>
        <w:top w:val="none" w:sz="0" w:space="0" w:color="auto"/>
        <w:left w:val="none" w:sz="0" w:space="0" w:color="auto"/>
        <w:bottom w:val="none" w:sz="0" w:space="0" w:color="auto"/>
        <w:right w:val="none" w:sz="0" w:space="0" w:color="auto"/>
      </w:divBdr>
    </w:div>
    <w:div w:id="1449083368">
      <w:bodyDiv w:val="1"/>
      <w:marLeft w:val="0"/>
      <w:marRight w:val="0"/>
      <w:marTop w:val="0"/>
      <w:marBottom w:val="0"/>
      <w:divBdr>
        <w:top w:val="none" w:sz="0" w:space="0" w:color="auto"/>
        <w:left w:val="none" w:sz="0" w:space="0" w:color="auto"/>
        <w:bottom w:val="none" w:sz="0" w:space="0" w:color="auto"/>
        <w:right w:val="none" w:sz="0" w:space="0" w:color="auto"/>
      </w:divBdr>
    </w:div>
    <w:div w:id="1512793978">
      <w:bodyDiv w:val="1"/>
      <w:marLeft w:val="0"/>
      <w:marRight w:val="0"/>
      <w:marTop w:val="0"/>
      <w:marBottom w:val="0"/>
      <w:divBdr>
        <w:top w:val="none" w:sz="0" w:space="0" w:color="auto"/>
        <w:left w:val="none" w:sz="0" w:space="0" w:color="auto"/>
        <w:bottom w:val="none" w:sz="0" w:space="0" w:color="auto"/>
        <w:right w:val="none" w:sz="0" w:space="0" w:color="auto"/>
      </w:divBdr>
    </w:div>
    <w:div w:id="1513957076">
      <w:bodyDiv w:val="1"/>
      <w:marLeft w:val="0"/>
      <w:marRight w:val="0"/>
      <w:marTop w:val="0"/>
      <w:marBottom w:val="0"/>
      <w:divBdr>
        <w:top w:val="none" w:sz="0" w:space="0" w:color="auto"/>
        <w:left w:val="none" w:sz="0" w:space="0" w:color="auto"/>
        <w:bottom w:val="none" w:sz="0" w:space="0" w:color="auto"/>
        <w:right w:val="none" w:sz="0" w:space="0" w:color="auto"/>
      </w:divBdr>
    </w:div>
    <w:div w:id="1534269207">
      <w:bodyDiv w:val="1"/>
      <w:marLeft w:val="0"/>
      <w:marRight w:val="0"/>
      <w:marTop w:val="0"/>
      <w:marBottom w:val="0"/>
      <w:divBdr>
        <w:top w:val="none" w:sz="0" w:space="0" w:color="auto"/>
        <w:left w:val="none" w:sz="0" w:space="0" w:color="auto"/>
        <w:bottom w:val="none" w:sz="0" w:space="0" w:color="auto"/>
        <w:right w:val="none" w:sz="0" w:space="0" w:color="auto"/>
      </w:divBdr>
    </w:div>
    <w:div w:id="1535265561">
      <w:bodyDiv w:val="1"/>
      <w:marLeft w:val="0"/>
      <w:marRight w:val="0"/>
      <w:marTop w:val="0"/>
      <w:marBottom w:val="0"/>
      <w:divBdr>
        <w:top w:val="none" w:sz="0" w:space="0" w:color="auto"/>
        <w:left w:val="none" w:sz="0" w:space="0" w:color="auto"/>
        <w:bottom w:val="none" w:sz="0" w:space="0" w:color="auto"/>
        <w:right w:val="none" w:sz="0" w:space="0" w:color="auto"/>
      </w:divBdr>
    </w:div>
    <w:div w:id="1559974485">
      <w:bodyDiv w:val="1"/>
      <w:marLeft w:val="0"/>
      <w:marRight w:val="0"/>
      <w:marTop w:val="0"/>
      <w:marBottom w:val="0"/>
      <w:divBdr>
        <w:top w:val="none" w:sz="0" w:space="0" w:color="auto"/>
        <w:left w:val="none" w:sz="0" w:space="0" w:color="auto"/>
        <w:bottom w:val="none" w:sz="0" w:space="0" w:color="auto"/>
        <w:right w:val="none" w:sz="0" w:space="0" w:color="auto"/>
      </w:divBdr>
    </w:div>
    <w:div w:id="1656837144">
      <w:bodyDiv w:val="1"/>
      <w:marLeft w:val="0"/>
      <w:marRight w:val="0"/>
      <w:marTop w:val="0"/>
      <w:marBottom w:val="0"/>
      <w:divBdr>
        <w:top w:val="none" w:sz="0" w:space="0" w:color="auto"/>
        <w:left w:val="none" w:sz="0" w:space="0" w:color="auto"/>
        <w:bottom w:val="none" w:sz="0" w:space="0" w:color="auto"/>
        <w:right w:val="none" w:sz="0" w:space="0" w:color="auto"/>
      </w:divBdr>
    </w:div>
    <w:div w:id="1717659012">
      <w:bodyDiv w:val="1"/>
      <w:marLeft w:val="0"/>
      <w:marRight w:val="0"/>
      <w:marTop w:val="0"/>
      <w:marBottom w:val="0"/>
      <w:divBdr>
        <w:top w:val="none" w:sz="0" w:space="0" w:color="auto"/>
        <w:left w:val="none" w:sz="0" w:space="0" w:color="auto"/>
        <w:bottom w:val="none" w:sz="0" w:space="0" w:color="auto"/>
        <w:right w:val="none" w:sz="0" w:space="0" w:color="auto"/>
      </w:divBdr>
    </w:div>
    <w:div w:id="1723022085">
      <w:bodyDiv w:val="1"/>
      <w:marLeft w:val="0"/>
      <w:marRight w:val="0"/>
      <w:marTop w:val="0"/>
      <w:marBottom w:val="0"/>
      <w:divBdr>
        <w:top w:val="none" w:sz="0" w:space="0" w:color="auto"/>
        <w:left w:val="none" w:sz="0" w:space="0" w:color="auto"/>
        <w:bottom w:val="none" w:sz="0" w:space="0" w:color="auto"/>
        <w:right w:val="none" w:sz="0" w:space="0" w:color="auto"/>
      </w:divBdr>
    </w:div>
    <w:div w:id="1737168916">
      <w:bodyDiv w:val="1"/>
      <w:marLeft w:val="0"/>
      <w:marRight w:val="0"/>
      <w:marTop w:val="0"/>
      <w:marBottom w:val="0"/>
      <w:divBdr>
        <w:top w:val="none" w:sz="0" w:space="0" w:color="auto"/>
        <w:left w:val="none" w:sz="0" w:space="0" w:color="auto"/>
        <w:bottom w:val="none" w:sz="0" w:space="0" w:color="auto"/>
        <w:right w:val="none" w:sz="0" w:space="0" w:color="auto"/>
      </w:divBdr>
    </w:div>
    <w:div w:id="1741826694">
      <w:bodyDiv w:val="1"/>
      <w:marLeft w:val="0"/>
      <w:marRight w:val="0"/>
      <w:marTop w:val="0"/>
      <w:marBottom w:val="0"/>
      <w:divBdr>
        <w:top w:val="none" w:sz="0" w:space="0" w:color="auto"/>
        <w:left w:val="none" w:sz="0" w:space="0" w:color="auto"/>
        <w:bottom w:val="none" w:sz="0" w:space="0" w:color="auto"/>
        <w:right w:val="none" w:sz="0" w:space="0" w:color="auto"/>
      </w:divBdr>
    </w:div>
    <w:div w:id="1759402707">
      <w:bodyDiv w:val="1"/>
      <w:marLeft w:val="0"/>
      <w:marRight w:val="0"/>
      <w:marTop w:val="0"/>
      <w:marBottom w:val="0"/>
      <w:divBdr>
        <w:top w:val="none" w:sz="0" w:space="0" w:color="auto"/>
        <w:left w:val="none" w:sz="0" w:space="0" w:color="auto"/>
        <w:bottom w:val="none" w:sz="0" w:space="0" w:color="auto"/>
        <w:right w:val="none" w:sz="0" w:space="0" w:color="auto"/>
      </w:divBdr>
    </w:div>
    <w:div w:id="1812483571">
      <w:bodyDiv w:val="1"/>
      <w:marLeft w:val="0"/>
      <w:marRight w:val="0"/>
      <w:marTop w:val="0"/>
      <w:marBottom w:val="0"/>
      <w:divBdr>
        <w:top w:val="none" w:sz="0" w:space="0" w:color="auto"/>
        <w:left w:val="none" w:sz="0" w:space="0" w:color="auto"/>
        <w:bottom w:val="none" w:sz="0" w:space="0" w:color="auto"/>
        <w:right w:val="none" w:sz="0" w:space="0" w:color="auto"/>
      </w:divBdr>
    </w:div>
    <w:div w:id="1814180079">
      <w:bodyDiv w:val="1"/>
      <w:marLeft w:val="0"/>
      <w:marRight w:val="0"/>
      <w:marTop w:val="0"/>
      <w:marBottom w:val="0"/>
      <w:divBdr>
        <w:top w:val="none" w:sz="0" w:space="0" w:color="auto"/>
        <w:left w:val="none" w:sz="0" w:space="0" w:color="auto"/>
        <w:bottom w:val="none" w:sz="0" w:space="0" w:color="auto"/>
        <w:right w:val="none" w:sz="0" w:space="0" w:color="auto"/>
      </w:divBdr>
    </w:div>
    <w:div w:id="1815490727">
      <w:bodyDiv w:val="1"/>
      <w:marLeft w:val="0"/>
      <w:marRight w:val="0"/>
      <w:marTop w:val="0"/>
      <w:marBottom w:val="0"/>
      <w:divBdr>
        <w:top w:val="none" w:sz="0" w:space="0" w:color="auto"/>
        <w:left w:val="none" w:sz="0" w:space="0" w:color="auto"/>
        <w:bottom w:val="none" w:sz="0" w:space="0" w:color="auto"/>
        <w:right w:val="none" w:sz="0" w:space="0" w:color="auto"/>
      </w:divBdr>
    </w:div>
    <w:div w:id="1837769848">
      <w:bodyDiv w:val="1"/>
      <w:marLeft w:val="0"/>
      <w:marRight w:val="0"/>
      <w:marTop w:val="0"/>
      <w:marBottom w:val="0"/>
      <w:divBdr>
        <w:top w:val="none" w:sz="0" w:space="0" w:color="auto"/>
        <w:left w:val="none" w:sz="0" w:space="0" w:color="auto"/>
        <w:bottom w:val="none" w:sz="0" w:space="0" w:color="auto"/>
        <w:right w:val="none" w:sz="0" w:space="0" w:color="auto"/>
      </w:divBdr>
    </w:div>
    <w:div w:id="1845239694">
      <w:bodyDiv w:val="1"/>
      <w:marLeft w:val="0"/>
      <w:marRight w:val="0"/>
      <w:marTop w:val="0"/>
      <w:marBottom w:val="0"/>
      <w:divBdr>
        <w:top w:val="none" w:sz="0" w:space="0" w:color="auto"/>
        <w:left w:val="none" w:sz="0" w:space="0" w:color="auto"/>
        <w:bottom w:val="none" w:sz="0" w:space="0" w:color="auto"/>
        <w:right w:val="none" w:sz="0" w:space="0" w:color="auto"/>
      </w:divBdr>
    </w:div>
    <w:div w:id="1892570203">
      <w:bodyDiv w:val="1"/>
      <w:marLeft w:val="0"/>
      <w:marRight w:val="0"/>
      <w:marTop w:val="0"/>
      <w:marBottom w:val="0"/>
      <w:divBdr>
        <w:top w:val="none" w:sz="0" w:space="0" w:color="auto"/>
        <w:left w:val="none" w:sz="0" w:space="0" w:color="auto"/>
        <w:bottom w:val="none" w:sz="0" w:space="0" w:color="auto"/>
        <w:right w:val="none" w:sz="0" w:space="0" w:color="auto"/>
      </w:divBdr>
    </w:div>
    <w:div w:id="1896696468">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63924683">
      <w:bodyDiv w:val="1"/>
      <w:marLeft w:val="0"/>
      <w:marRight w:val="0"/>
      <w:marTop w:val="0"/>
      <w:marBottom w:val="0"/>
      <w:divBdr>
        <w:top w:val="none" w:sz="0" w:space="0" w:color="auto"/>
        <w:left w:val="none" w:sz="0" w:space="0" w:color="auto"/>
        <w:bottom w:val="none" w:sz="0" w:space="0" w:color="auto"/>
        <w:right w:val="none" w:sz="0" w:space="0" w:color="auto"/>
      </w:divBdr>
    </w:div>
    <w:div w:id="1996951778">
      <w:bodyDiv w:val="1"/>
      <w:marLeft w:val="0"/>
      <w:marRight w:val="0"/>
      <w:marTop w:val="0"/>
      <w:marBottom w:val="0"/>
      <w:divBdr>
        <w:top w:val="none" w:sz="0" w:space="0" w:color="auto"/>
        <w:left w:val="none" w:sz="0" w:space="0" w:color="auto"/>
        <w:bottom w:val="none" w:sz="0" w:space="0" w:color="auto"/>
        <w:right w:val="none" w:sz="0" w:space="0" w:color="auto"/>
      </w:divBdr>
    </w:div>
    <w:div w:id="2016883751">
      <w:bodyDiv w:val="1"/>
      <w:marLeft w:val="0"/>
      <w:marRight w:val="0"/>
      <w:marTop w:val="0"/>
      <w:marBottom w:val="0"/>
      <w:divBdr>
        <w:top w:val="none" w:sz="0" w:space="0" w:color="auto"/>
        <w:left w:val="none" w:sz="0" w:space="0" w:color="auto"/>
        <w:bottom w:val="none" w:sz="0" w:space="0" w:color="auto"/>
        <w:right w:val="none" w:sz="0" w:space="0" w:color="auto"/>
      </w:divBdr>
    </w:div>
    <w:div w:id="2043170214">
      <w:bodyDiv w:val="1"/>
      <w:marLeft w:val="0"/>
      <w:marRight w:val="0"/>
      <w:marTop w:val="0"/>
      <w:marBottom w:val="0"/>
      <w:divBdr>
        <w:top w:val="none" w:sz="0" w:space="0" w:color="auto"/>
        <w:left w:val="none" w:sz="0" w:space="0" w:color="auto"/>
        <w:bottom w:val="none" w:sz="0" w:space="0" w:color="auto"/>
        <w:right w:val="none" w:sz="0" w:space="0" w:color="auto"/>
      </w:divBdr>
    </w:div>
    <w:div w:id="2077821958">
      <w:bodyDiv w:val="1"/>
      <w:marLeft w:val="0"/>
      <w:marRight w:val="0"/>
      <w:marTop w:val="0"/>
      <w:marBottom w:val="0"/>
      <w:divBdr>
        <w:top w:val="none" w:sz="0" w:space="0" w:color="auto"/>
        <w:left w:val="none" w:sz="0" w:space="0" w:color="auto"/>
        <w:bottom w:val="none" w:sz="0" w:space="0" w:color="auto"/>
        <w:right w:val="none" w:sz="0" w:space="0" w:color="auto"/>
      </w:divBdr>
    </w:div>
    <w:div w:id="21071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75196232339092E-2"/>
          <c:y val="0.12905527782658002"/>
          <c:w val="0.86560610958112993"/>
          <c:h val="0.76077951395971877"/>
        </c:manualLayout>
      </c:layout>
      <c:barChart>
        <c:barDir val="col"/>
        <c:grouping val="stacked"/>
        <c:varyColors val="0"/>
        <c:ser>
          <c:idx val="0"/>
          <c:order val="0"/>
          <c:tx>
            <c:strRef>
              <c:f>Sheet1!$B$1</c:f>
              <c:strCache>
                <c:ptCount val="1"/>
                <c:pt idx="0">
                  <c:v>Yıllar</c:v>
                </c:pt>
              </c:strCache>
            </c:strRef>
          </c:tx>
          <c:spPr>
            <a:solidFill>
              <a:srgbClr val="5B9BD5"/>
            </a:solidFill>
            <a:ln>
              <a:noFill/>
            </a:ln>
            <a:effectLst/>
          </c:spPr>
          <c:invertIfNegative val="1"/>
          <c:dPt>
            <c:idx val="0"/>
            <c:invertIfNegative val="1"/>
            <c:bubble3D val="0"/>
            <c:extLst>
              <c:ext xmlns:c16="http://schemas.microsoft.com/office/drawing/2014/chart" uri="{C3380CC4-5D6E-409C-BE32-E72D297353CC}">
                <c16:uniqueId val="{00000000-08E5-4AC8-87C3-72B5F3D13789}"/>
              </c:ext>
            </c:extLst>
          </c:dPt>
          <c:dPt>
            <c:idx val="6"/>
            <c:invertIfNegative val="0"/>
            <c:bubble3D val="0"/>
            <c:extLst>
              <c:ext xmlns:c16="http://schemas.microsoft.com/office/drawing/2014/chart" uri="{C3380CC4-5D6E-409C-BE32-E72D297353CC}">
                <c16:uniqueId val="{00000001-08E5-4AC8-87C3-72B5F3D13789}"/>
              </c:ext>
            </c:extLst>
          </c:dPt>
          <c:dPt>
            <c:idx val="7"/>
            <c:invertIfNegative val="1"/>
            <c:bubble3D val="0"/>
            <c:extLst>
              <c:ext xmlns:c16="http://schemas.microsoft.com/office/drawing/2014/chart" uri="{C3380CC4-5D6E-409C-BE32-E72D297353CC}">
                <c16:uniqueId val="{00000002-08E5-4AC8-87C3-72B5F3D13789}"/>
              </c:ext>
            </c:extLst>
          </c:dPt>
          <c:dLbls>
            <c:spPr>
              <a:noFill/>
              <a:ln>
                <a:noFill/>
              </a:ln>
              <a:effectLst/>
            </c:spPr>
            <c:txPr>
              <a:bodyPr rot="0" spcFirstLastPara="1" vertOverflow="ellipsis" vert="horz" wrap="square" lIns="38100" tIns="19050" rIns="38100" bIns="19050" anchor="ctr" anchorCtr="1">
                <a:spAutoFit/>
              </a:bodyPr>
              <a:lstStyle/>
              <a:p>
                <a:pPr>
                  <a:defRPr sz="998" b="0" i="0" u="none" strike="noStrike" kern="1200" baseline="0">
                    <a:solidFill>
                      <a:srgbClr val="000000"/>
                    </a:solidFill>
                    <a:latin typeface="Trebuchet MS"/>
                    <a:ea typeface="Trebuchet MS"/>
                    <a:cs typeface="Trebuchet M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Sheet1!$A$2:$A$18</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Sheet1!$B$2:$B$18</c:f>
              <c:numCache>
                <c:formatCode>#,##0</c:formatCode>
                <c:ptCount val="17"/>
                <c:pt idx="0">
                  <c:v>24694445967.937004</c:v>
                </c:pt>
                <c:pt idx="1">
                  <c:v>20122950185.193058</c:v>
                </c:pt>
                <c:pt idx="2">
                  <c:v>23372601438.542095</c:v>
                </c:pt>
                <c:pt idx="3">
                  <c:v>24772197116.52935</c:v>
                </c:pt>
                <c:pt idx="4">
                  <c:v>31689151934.283722</c:v>
                </c:pt>
                <c:pt idx="5">
                  <c:v>31226504136.606331</c:v>
                </c:pt>
                <c:pt idx="6">
                  <c:v>26834625099.011932</c:v>
                </c:pt>
                <c:pt idx="7">
                  <c:v>24048599377.251881</c:v>
                </c:pt>
                <c:pt idx="8">
                  <c:v>15034345115.769009</c:v>
                </c:pt>
                <c:pt idx="9">
                  <c:v>17868257459.496101</c:v>
                </c:pt>
                <c:pt idx="10">
                  <c:v>22681305531.361599</c:v>
                </c:pt>
                <c:pt idx="11">
                  <c:v>19939684270.895802</c:v>
                </c:pt>
                <c:pt idx="12">
                  <c:v>16856307147.473944</c:v>
                </c:pt>
                <c:pt idx="13">
                  <c:v>31491118462.393036</c:v>
                </c:pt>
                <c:pt idx="14">
                  <c:v>19957437706.84272</c:v>
                </c:pt>
                <c:pt idx="15">
                  <c:v>28255762970.932598</c:v>
                </c:pt>
                <c:pt idx="16">
                  <c:v>18381827906.507801</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4-08E5-4AC8-87C3-72B5F3D13789}"/>
            </c:ext>
          </c:extLst>
        </c:ser>
        <c:dLbls>
          <c:showLegendKey val="0"/>
          <c:showVal val="1"/>
          <c:showCatName val="0"/>
          <c:showSerName val="0"/>
          <c:showPercent val="0"/>
          <c:showBubbleSize val="0"/>
        </c:dLbls>
        <c:gapWidth val="210"/>
        <c:overlap val="-10"/>
        <c:axId val="142852336"/>
        <c:axId val="142847632"/>
      </c:barChart>
      <c:lineChart>
        <c:grouping val="standard"/>
        <c:varyColors val="0"/>
        <c:ser>
          <c:idx val="1"/>
          <c:order val="1"/>
          <c:tx>
            <c:strRef>
              <c:f>Sheet1!$C$1</c:f>
              <c:strCache>
                <c:ptCount val="1"/>
                <c:pt idx="0">
                  <c:v>Toplam</c:v>
                </c:pt>
              </c:strCache>
            </c:strRef>
          </c:tx>
          <c:spPr>
            <a:ln w="19050" cap="rnd" cmpd="sng" algn="ctr">
              <a:solidFill>
                <a:schemeClr val="accent2"/>
              </a:solidFill>
              <a:prstDash val="solid"/>
              <a:round/>
            </a:ln>
            <a:effectLst/>
          </c:spPr>
          <c:marker>
            <c:symbol val="circle"/>
            <c:size val="2"/>
            <c:spPr>
              <a:solidFill>
                <a:schemeClr val="accent2"/>
              </a:solidFill>
              <a:ln w="6350" cap="flat" cmpd="sng" algn="ctr">
                <a:solidFill>
                  <a:schemeClr val="accent2"/>
                </a:solidFill>
                <a:prstDash val="solid"/>
                <a:round/>
              </a:ln>
              <a:effectLst/>
            </c:spPr>
          </c:marker>
          <c:dLbls>
            <c:delete val="1"/>
          </c:dLbls>
          <c:cat>
            <c:numRef>
              <c:f>Sheet1!$A$2:$A$18</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Sheet1!$C$2:$C$18</c:f>
              <c:numCache>
                <c:formatCode>#,##0</c:formatCode>
                <c:ptCount val="17"/>
                <c:pt idx="0">
                  <c:v>150441519821.89685</c:v>
                </c:pt>
                <c:pt idx="1">
                  <c:v>170564470007.0899</c:v>
                </c:pt>
                <c:pt idx="2">
                  <c:v>193937071445.63199</c:v>
                </c:pt>
                <c:pt idx="3">
                  <c:v>218709268562.16135</c:v>
                </c:pt>
                <c:pt idx="4">
                  <c:v>250398420496.44507</c:v>
                </c:pt>
                <c:pt idx="5">
                  <c:v>281624924633.05139</c:v>
                </c:pt>
                <c:pt idx="6">
                  <c:v>308459549732.06335</c:v>
                </c:pt>
                <c:pt idx="7">
                  <c:v>332508149109.31525</c:v>
                </c:pt>
                <c:pt idx="8">
                  <c:v>347542494225.08423</c:v>
                </c:pt>
                <c:pt idx="9">
                  <c:v>365410751684.58032</c:v>
                </c:pt>
                <c:pt idx="10">
                  <c:v>388092057215.94189</c:v>
                </c:pt>
                <c:pt idx="11">
                  <c:v>408031741486.83771</c:v>
                </c:pt>
                <c:pt idx="12">
                  <c:v>424888048634.31165</c:v>
                </c:pt>
                <c:pt idx="13">
                  <c:v>456379167096.70471</c:v>
                </c:pt>
                <c:pt idx="14">
                  <c:v>476336604803.54742</c:v>
                </c:pt>
                <c:pt idx="15">
                  <c:v>504592367774.48004</c:v>
                </c:pt>
                <c:pt idx="16">
                  <c:v>522974195680.98785</c:v>
                </c:pt>
              </c:numCache>
            </c:numRef>
          </c:val>
          <c:smooth val="0"/>
          <c:extLst>
            <c:ext xmlns:c16="http://schemas.microsoft.com/office/drawing/2014/chart" uri="{C3380CC4-5D6E-409C-BE32-E72D297353CC}">
              <c16:uniqueId val="{00000008-08E5-4AC8-87C3-72B5F3D13789}"/>
            </c:ext>
          </c:extLst>
        </c:ser>
        <c:dLbls>
          <c:showLegendKey val="0"/>
          <c:showVal val="1"/>
          <c:showCatName val="0"/>
          <c:showSerName val="0"/>
          <c:showPercent val="0"/>
          <c:showBubbleSize val="0"/>
        </c:dLbls>
        <c:marker val="1"/>
        <c:smooth val="0"/>
        <c:axId val="142852728"/>
        <c:axId val="142853512"/>
      </c:lineChart>
      <c:catAx>
        <c:axId val="142852336"/>
        <c:scaling>
          <c:orientation val="minMax"/>
        </c:scaling>
        <c:delete val="0"/>
        <c:axPos val="b"/>
        <c:numFmt formatCode="General" sourceLinked="1"/>
        <c:majorTickMark val="out"/>
        <c:minorTickMark val="none"/>
        <c:tickLblPos val="nextTo"/>
        <c:spPr>
          <a:noFill/>
          <a:ln w="3167" cap="flat" cmpd="sng" algn="ctr">
            <a:solidFill>
              <a:srgbClr val="000000"/>
            </a:solid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47632"/>
        <c:crosses val="autoZero"/>
        <c:auto val="1"/>
        <c:lblAlgn val="ctr"/>
        <c:lblOffset val="100"/>
        <c:tickLblSkip val="1"/>
        <c:tickMarkSkip val="1"/>
        <c:noMultiLvlLbl val="1"/>
      </c:catAx>
      <c:valAx>
        <c:axId val="142847632"/>
        <c:scaling>
          <c:orientation val="minMax"/>
        </c:scaling>
        <c:delete val="0"/>
        <c:axPos val="l"/>
        <c:majorGridlines>
          <c:spPr>
            <a:ln w="12663" cap="flat" cmpd="sng" algn="ctr">
              <a:solidFill>
                <a:srgbClr val="C0C0C0"/>
              </a:solidFill>
              <a:prstDash val="solid"/>
              <a:round/>
            </a:ln>
            <a:effectLst/>
          </c:spPr>
        </c:majorGridlines>
        <c:numFmt formatCode="#,##0" sourceLinked="1"/>
        <c:majorTickMark val="out"/>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336"/>
        <c:crosses val="autoZero"/>
        <c:crossBetween val="between"/>
        <c:dispUnits>
          <c:builtInUnit val="billions"/>
        </c:dispUnits>
      </c:valAx>
      <c:catAx>
        <c:axId val="142852728"/>
        <c:scaling>
          <c:orientation val="minMax"/>
        </c:scaling>
        <c:delete val="1"/>
        <c:axPos val="b"/>
        <c:numFmt formatCode="General" sourceLinked="1"/>
        <c:majorTickMark val="out"/>
        <c:minorTickMark val="none"/>
        <c:tickLblPos val="none"/>
        <c:crossAx val="142853512"/>
        <c:crosses val="autoZero"/>
        <c:auto val="1"/>
        <c:lblAlgn val="ctr"/>
        <c:lblOffset val="100"/>
        <c:noMultiLvlLbl val="1"/>
      </c:catAx>
      <c:valAx>
        <c:axId val="142853512"/>
        <c:scaling>
          <c:orientation val="minMax"/>
        </c:scaling>
        <c:delete val="0"/>
        <c:axPos val="r"/>
        <c:numFmt formatCode="#,##0" sourceLinked="1"/>
        <c:majorTickMark val="cross"/>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728"/>
        <c:crosses val="max"/>
        <c:crossBetween val="between"/>
        <c:dispUnits>
          <c:builtInUnit val="billions"/>
          <c:dispUnitsLbl>
            <c:layout>
              <c:manualLayout>
                <c:xMode val="edge"/>
                <c:yMode val="edge"/>
                <c:x val="0.96563895030362579"/>
                <c:y val="0.39084105637237831"/>
              </c:manualLayout>
            </c:layout>
            <c:tx>
              <c:rich>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r>
                    <a:rPr lang="tr-TR" sz="1100"/>
                    <a:t>Milyar Dolar</a:t>
                  </a:r>
                </a:p>
              </c:rich>
            </c:tx>
            <c:spPr>
              <a:noFill/>
              <a:ln w="25347">
                <a:noFill/>
              </a:ln>
              <a:effectLst/>
            </c:spPr>
            <c:txPr>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endParaRPr lang="tr-TR"/>
              </a:p>
            </c:txPr>
          </c:dispUnitsLbl>
        </c:dispUnits>
      </c:valAx>
      <c:spPr>
        <a:solidFill>
          <a:schemeClr val="bg1"/>
        </a:solidFill>
        <a:ln>
          <a:noFill/>
        </a:ln>
        <a:effectLst/>
      </c:spPr>
    </c:plotArea>
    <c:plotVisOnly val="1"/>
    <c:dispBlanksAs val="gap"/>
    <c:showDLblsOverMax val="0"/>
  </c:chart>
  <c:spPr>
    <a:noFill/>
    <a:ln w="6350" cap="flat" cmpd="dbl" algn="ctr">
      <a:solidFill>
        <a:srgbClr val="4684EE"/>
      </a:solidFill>
      <a:prstDash val="solid"/>
      <a:round/>
    </a:ln>
    <a:effectLst/>
  </c:spPr>
  <c:txPr>
    <a:bodyPr/>
    <a:lstStyle/>
    <a:p>
      <a:pPr>
        <a:defRPr sz="998" b="0" i="0" u="none" strike="noStrike" baseline="0">
          <a:solidFill>
            <a:srgbClr val="000000"/>
          </a:solidFill>
          <a:latin typeface="Trebuchet MS"/>
          <a:ea typeface="Trebuchet MS"/>
          <a:cs typeface="Trebuchet MS"/>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0.057</cdr:x>
      <cdr:y>0.068</cdr:y>
    </cdr:from>
    <cdr:to>
      <cdr:x>0.04275</cdr:x>
      <cdr:y>0.06125</cdr:y>
    </cdr:to>
    <cdr:sp macro="" textlink="">
      <cdr:nvSpPr>
        <cdr:cNvPr id="2" name="TextBox 1"/>
        <cdr:cNvSpPr txBox="1"/>
      </cdr:nvSpPr>
      <cdr:spPr>
        <a:xfrm xmlns:a="http://schemas.openxmlformats.org/drawingml/2006/main">
          <a:off x="609600" y="228600"/>
          <a:ext cx="41148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A6D19-EC4E-4F79-BB8C-FCDB3894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2326</Words>
  <Characters>13261</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Cihat MEMİŞ</dc:creator>
  <cp:keywords/>
  <dc:description/>
  <cp:lastModifiedBy>Ekrem Ozan BAHÇECİ</cp:lastModifiedBy>
  <cp:revision>33</cp:revision>
  <cp:lastPrinted>2017-12-08T13:44:00Z</cp:lastPrinted>
  <dcterms:created xsi:type="dcterms:W3CDTF">2024-06-05T13:10:00Z</dcterms:created>
  <dcterms:modified xsi:type="dcterms:W3CDTF">2024-12-02T13:46:00Z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user=10894708210</vt:lpwstr>
  </property>
  <property fmtid="{D5CDD505-2E9C-101B-9397-08002B2CF9AE}" pid="4" name="geodilabeltime">
    <vt:lpwstr>datetime=2024-04-01T12:45:21.492Z</vt:lpwstr>
  </property>
</Properties>
</file>